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0EA3" w14:textId="77D518A5" w:rsidR="00B64C41" w:rsidRDefault="00B64C41" w:rsidP="00B64C41">
      <w:pPr>
        <w:pStyle w:val="NZEV"/>
        <w:widowControl w:val="0"/>
        <w:spacing w:before="0"/>
        <w:rPr>
          <w:rFonts w:ascii="Calibri" w:hAnsi="Calibri" w:cs="Arial"/>
        </w:rPr>
      </w:pPr>
      <w:r>
        <w:t>Smlouva o zpracování osobních údajů</w:t>
      </w:r>
      <w:r w:rsidR="00C637CE">
        <w:t xml:space="preserve"> a o zachování důvěrnosti informací</w:t>
      </w:r>
    </w:p>
    <w:p w14:paraId="21C38865" w14:textId="3CCA79A1" w:rsidR="000C2A53" w:rsidRPr="00256883" w:rsidRDefault="00B64C41" w:rsidP="00256883">
      <w:pPr>
        <w:suppressAutoHyphens/>
        <w:spacing w:after="60"/>
        <w:jc w:val="center"/>
        <w:rPr>
          <w:rFonts w:ascii="Times New Roman" w:eastAsia="Times New Roman" w:hAnsi="Times New Roman"/>
          <w:sz w:val="20"/>
          <w:szCs w:val="18"/>
        </w:rPr>
      </w:pPr>
      <w:r w:rsidRPr="00256883">
        <w:rPr>
          <w:sz w:val="22"/>
          <w:szCs w:val="20"/>
        </w:rPr>
        <w:t>uzavřená dle zákona č. </w:t>
      </w:r>
      <w:r w:rsidR="00A42D84" w:rsidRPr="00256883">
        <w:rPr>
          <w:sz w:val="22"/>
          <w:szCs w:val="20"/>
        </w:rPr>
        <w:t>110/2019 Sb., o zpracování osobních údajů,</w:t>
      </w:r>
      <w:r w:rsidRPr="00256883">
        <w:rPr>
          <w:sz w:val="22"/>
          <w:szCs w:val="20"/>
        </w:rPr>
        <w:t xml:space="preserve"> a dle nařízení Evropského parlamentu a Rady (EU) 2016/679 ze dne 27. dubna 2016 o ochraně fyzických osob v</w:t>
      </w:r>
      <w:r w:rsidR="00F62F08" w:rsidRPr="00256883">
        <w:rPr>
          <w:sz w:val="22"/>
          <w:szCs w:val="20"/>
        </w:rPr>
        <w:t> </w:t>
      </w:r>
      <w:r w:rsidRPr="00256883">
        <w:rPr>
          <w:sz w:val="22"/>
          <w:szCs w:val="20"/>
        </w:rPr>
        <w:t>souvislosti se zpracováním osobních údajů a o volném pohybu těchto údajů a o zrušení směrnice 95/46/ES (obecné nařízení o ochraně osobních údajů)</w:t>
      </w:r>
      <w:r w:rsidR="000C2A53" w:rsidRPr="00256883">
        <w:rPr>
          <w:sz w:val="22"/>
          <w:szCs w:val="20"/>
        </w:rPr>
        <w:t xml:space="preserve"> </w:t>
      </w:r>
      <w:r w:rsidR="00C637CE" w:rsidRPr="00256883">
        <w:rPr>
          <w:sz w:val="22"/>
          <w:szCs w:val="20"/>
        </w:rPr>
        <w:t xml:space="preserve">a ve </w:t>
      </w:r>
      <w:r w:rsidR="00C637CE" w:rsidRPr="00256883">
        <w:rPr>
          <w:sz w:val="22"/>
          <w:szCs w:val="18"/>
        </w:rPr>
        <w:t>smyslu § 1746 odst. 2 zákona č. 89/2012 Sb., občanský zákoník, ve znění pozdějších předpisů</w:t>
      </w:r>
    </w:p>
    <w:p w14:paraId="391B2B26" w14:textId="65543F24" w:rsidR="00537E96" w:rsidRDefault="00B64C41" w:rsidP="008870E2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2E414F32" w14:textId="77777777" w:rsidR="009617AB" w:rsidRDefault="009617AB" w:rsidP="009617AB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1A880888" w14:textId="64BDBBF2" w:rsidR="007A7ED9" w:rsidDel="00B85273" w:rsidRDefault="000C2A53" w:rsidP="00A65F3E">
      <w:pPr>
        <w:pStyle w:val="SML11"/>
        <w:spacing w:after="0"/>
        <w:rPr>
          <w:rStyle w:val="NormalChart"/>
        </w:rPr>
      </w:pPr>
      <w:r>
        <w:rPr>
          <w:rStyle w:val="NormalUnderlined"/>
        </w:rPr>
        <w:t>Zadava</w:t>
      </w:r>
      <w:r w:rsidR="00537E96">
        <w:rPr>
          <w:rStyle w:val="NormalUnderlined"/>
        </w:rPr>
        <w:t>tel</w:t>
      </w:r>
    </w:p>
    <w:tbl>
      <w:tblPr>
        <w:tblW w:w="4697" w:type="pct"/>
        <w:tblInd w:w="7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63"/>
        <w:gridCol w:w="5359"/>
      </w:tblGrid>
      <w:tr w:rsidR="00144C8E" w:rsidRPr="009B6559" w14:paraId="33FB51E2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596C69D4" w14:textId="30589993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Název:</w:t>
            </w:r>
          </w:p>
        </w:tc>
        <w:tc>
          <w:tcPr>
            <w:tcW w:w="3144" w:type="pct"/>
            <w:shd w:val="clear" w:color="auto" w:fill="auto"/>
          </w:tcPr>
          <w:p w14:paraId="2F24DB3C" w14:textId="29429EFB" w:rsidR="00144C8E" w:rsidRPr="006423DB" w:rsidRDefault="00144C8E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sz w:val="22"/>
                <w:szCs w:val="20"/>
              </w:rPr>
              <w:t>Technická správa komunikací hl. m. Prahy, a.s.</w:t>
            </w:r>
          </w:p>
        </w:tc>
      </w:tr>
      <w:tr w:rsidR="00144C8E" w:rsidRPr="009B6559" w14:paraId="6D0BCC9D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4B8110B6" w14:textId="7BD9DB98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Sídlo:</w:t>
            </w:r>
          </w:p>
        </w:tc>
        <w:tc>
          <w:tcPr>
            <w:tcW w:w="3144" w:type="pct"/>
            <w:shd w:val="clear" w:color="auto" w:fill="auto"/>
          </w:tcPr>
          <w:p w14:paraId="316AE624" w14:textId="39572442" w:rsidR="00144C8E" w:rsidRPr="006423DB" w:rsidRDefault="7D6A59F5" w:rsidP="3826454C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sz w:val="22"/>
                <w:szCs w:val="20"/>
              </w:rPr>
              <w:t xml:space="preserve">Řásnovka 770/8, 110 </w:t>
            </w:r>
            <w:r w:rsidR="7A8783DB" w:rsidRPr="006423DB">
              <w:rPr>
                <w:sz w:val="22"/>
                <w:szCs w:val="20"/>
              </w:rPr>
              <w:t>00</w:t>
            </w:r>
            <w:r w:rsidRPr="006423DB">
              <w:rPr>
                <w:sz w:val="22"/>
                <w:szCs w:val="20"/>
              </w:rPr>
              <w:t>, Praha 1</w:t>
            </w:r>
          </w:p>
        </w:tc>
      </w:tr>
      <w:tr w:rsidR="00144C8E" w:rsidRPr="009B6559" w14:paraId="0C055333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78B5A58F" w14:textId="1DE3C2FB" w:rsidR="00144C8E" w:rsidRPr="006423DB" w:rsidRDefault="7D6A59F5" w:rsidP="3826454C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IČ</w:t>
            </w:r>
            <w:r w:rsidR="3D3A3909" w:rsidRPr="006423DB">
              <w:rPr>
                <w:rFonts w:asciiTheme="minorHAnsi" w:hAnsiTheme="minorHAnsi" w:cs="Arial"/>
                <w:sz w:val="22"/>
                <w:szCs w:val="20"/>
              </w:rPr>
              <w:t>0</w:t>
            </w:r>
            <w:r w:rsidRPr="006423DB">
              <w:rPr>
                <w:rFonts w:asciiTheme="minorHAnsi" w:hAnsiTheme="minorHAnsi" w:cs="Arial"/>
                <w:sz w:val="22"/>
                <w:szCs w:val="20"/>
              </w:rPr>
              <w:t>:</w:t>
            </w:r>
          </w:p>
        </w:tc>
        <w:tc>
          <w:tcPr>
            <w:tcW w:w="3144" w:type="pct"/>
            <w:shd w:val="clear" w:color="auto" w:fill="auto"/>
          </w:tcPr>
          <w:p w14:paraId="6B9D48F8" w14:textId="566DBE6E" w:rsidR="00144C8E" w:rsidRPr="006423DB" w:rsidRDefault="00144C8E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sz w:val="22"/>
                <w:szCs w:val="20"/>
              </w:rPr>
              <w:t>03447286</w:t>
            </w:r>
          </w:p>
        </w:tc>
      </w:tr>
      <w:tr w:rsidR="00144C8E" w:rsidRPr="009B6559" w14:paraId="35116369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43557DCE" w14:textId="4B2F6278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DIČ:</w:t>
            </w:r>
          </w:p>
        </w:tc>
        <w:tc>
          <w:tcPr>
            <w:tcW w:w="3144" w:type="pct"/>
            <w:shd w:val="clear" w:color="auto" w:fill="auto"/>
          </w:tcPr>
          <w:p w14:paraId="41C81D1B" w14:textId="73E16DA2" w:rsidR="00144C8E" w:rsidRPr="006423DB" w:rsidRDefault="00144C8E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sz w:val="22"/>
                <w:szCs w:val="20"/>
              </w:rPr>
              <w:t>CZ03447286</w:t>
            </w:r>
          </w:p>
        </w:tc>
      </w:tr>
      <w:tr w:rsidR="00144C8E" w:rsidRPr="009B6559" w14:paraId="0A111682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149873E4" w14:textId="5E14CADC" w:rsidR="002C00D6" w:rsidRPr="006423DB" w:rsidRDefault="002C00D6" w:rsidP="006423DB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Údaj o zápisu do veřejného rejstříku:</w:t>
            </w:r>
          </w:p>
          <w:p w14:paraId="771F7B5F" w14:textId="1E655AA8" w:rsidR="00144C8E" w:rsidRPr="006423DB" w:rsidRDefault="00144C8E" w:rsidP="002C00D6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Zástupce – osob</w:t>
            </w:r>
            <w:r w:rsidR="002B1FE2">
              <w:rPr>
                <w:rFonts w:asciiTheme="minorHAnsi" w:hAnsiTheme="minorHAnsi" w:cs="Arial"/>
                <w:sz w:val="22"/>
                <w:szCs w:val="20"/>
              </w:rPr>
              <w:t>a</w:t>
            </w:r>
            <w:r w:rsidRPr="006423DB">
              <w:rPr>
                <w:rFonts w:asciiTheme="minorHAnsi" w:hAnsiTheme="minorHAnsi" w:cs="Arial"/>
                <w:sz w:val="22"/>
                <w:szCs w:val="20"/>
              </w:rPr>
              <w:t xml:space="preserve"> oprávněn</w:t>
            </w:r>
            <w:r w:rsidR="002B1FE2">
              <w:rPr>
                <w:rFonts w:asciiTheme="minorHAnsi" w:hAnsiTheme="minorHAnsi" w:cs="Arial"/>
                <w:sz w:val="22"/>
                <w:szCs w:val="20"/>
              </w:rPr>
              <w:t>á</w:t>
            </w:r>
            <w:r w:rsidRPr="006423DB">
              <w:rPr>
                <w:rFonts w:asciiTheme="minorHAnsi" w:hAnsiTheme="minorHAnsi" w:cs="Arial"/>
                <w:sz w:val="22"/>
                <w:szCs w:val="20"/>
              </w:rPr>
              <w:t xml:space="preserve"> k právnímu jednání za účastníka Smlouvy:</w:t>
            </w:r>
          </w:p>
        </w:tc>
        <w:tc>
          <w:tcPr>
            <w:tcW w:w="3144" w:type="pct"/>
            <w:shd w:val="clear" w:color="auto" w:fill="auto"/>
          </w:tcPr>
          <w:p w14:paraId="4913B876" w14:textId="77777777" w:rsidR="002C00D6" w:rsidRPr="006423DB" w:rsidRDefault="002C00D6" w:rsidP="002C00D6">
            <w:pPr>
              <w:widowControl w:val="0"/>
              <w:spacing w:before="0" w:after="0"/>
              <w:rPr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</w:rPr>
              <w:t>obchodní společnost zapsaná do obchodního rejstříku pod sp. zn. B 20059 vedenou u Městského soudu v Praze</w:t>
            </w:r>
          </w:p>
          <w:p w14:paraId="242B7F93" w14:textId="77777777" w:rsidR="002B1FE2" w:rsidRDefault="002B1FE2" w:rsidP="00144C8E">
            <w:pPr>
              <w:widowControl w:val="0"/>
              <w:spacing w:before="0" w:after="0"/>
              <w:rPr>
                <w:sz w:val="22"/>
                <w:szCs w:val="20"/>
              </w:rPr>
            </w:pPr>
          </w:p>
          <w:p w14:paraId="15FA4B17" w14:textId="77777777" w:rsidR="002B1FE2" w:rsidRPr="0091729B" w:rsidRDefault="002B1FE2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91729B">
              <w:rPr>
                <w:rFonts w:asciiTheme="minorHAnsi" w:hAnsiTheme="minorHAnsi"/>
                <w:sz w:val="22"/>
                <w:szCs w:val="20"/>
              </w:rPr>
              <w:t>Mgr. Jiří Šimon, vedoucí zakázkového oddělení</w:t>
            </w:r>
          </w:p>
          <w:p w14:paraId="0DCCEF9D" w14:textId="058D3A18" w:rsidR="00A65F3E" w:rsidRPr="002B1FE2" w:rsidRDefault="002B1FE2" w:rsidP="00144C8E">
            <w:pPr>
              <w:widowControl w:val="0"/>
              <w:spacing w:before="0" w:after="0"/>
              <w:rPr>
                <w:sz w:val="22"/>
                <w:szCs w:val="20"/>
              </w:rPr>
            </w:pPr>
            <w:r w:rsidRPr="0091729B">
              <w:rPr>
                <w:rFonts w:asciiTheme="minorHAnsi" w:hAnsiTheme="minorHAnsi"/>
                <w:sz w:val="22"/>
                <w:szCs w:val="20"/>
              </w:rPr>
              <w:t>na základě plné moci</w:t>
            </w:r>
          </w:p>
        </w:tc>
      </w:tr>
      <w:tr w:rsidR="00A65F3E" w:rsidRPr="009B6559" w14:paraId="09F4FFEE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4C991CBE" w14:textId="75FE5BA4" w:rsidR="00A65F3E" w:rsidRPr="006423DB" w:rsidRDefault="00A65F3E" w:rsidP="00A65F3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Kontaktní osoby ve věcech technických:</w:t>
            </w:r>
          </w:p>
        </w:tc>
        <w:tc>
          <w:tcPr>
            <w:tcW w:w="3144" w:type="pct"/>
            <w:shd w:val="clear" w:color="auto" w:fill="auto"/>
          </w:tcPr>
          <w:p w14:paraId="2DCF6F7E" w14:textId="40EB9C7D" w:rsidR="00A65F3E" w:rsidRPr="006423DB" w:rsidRDefault="00A65F3E" w:rsidP="002C00D6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</w:rPr>
              <w:t>Ing. Petr Souček, vedoucí oddělení správy ZPS</w:t>
            </w:r>
          </w:p>
        </w:tc>
      </w:tr>
      <w:tr w:rsidR="00A65F3E" w:rsidRPr="009B6559" w14:paraId="5C5AC4EC" w14:textId="77777777" w:rsidTr="3826454C">
        <w:trPr>
          <w:trHeight w:val="52"/>
        </w:trPr>
        <w:tc>
          <w:tcPr>
            <w:tcW w:w="1856" w:type="pct"/>
            <w:shd w:val="clear" w:color="auto" w:fill="auto"/>
          </w:tcPr>
          <w:p w14:paraId="170B080F" w14:textId="642EC698" w:rsidR="00A65F3E" w:rsidRPr="006423DB" w:rsidRDefault="00A65F3E" w:rsidP="00A65F3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Tel.:</w:t>
            </w:r>
          </w:p>
        </w:tc>
        <w:tc>
          <w:tcPr>
            <w:tcW w:w="3144" w:type="pct"/>
            <w:shd w:val="clear" w:color="auto" w:fill="auto"/>
          </w:tcPr>
          <w:p w14:paraId="1D40DC93" w14:textId="2C736D76" w:rsidR="002C00D6" w:rsidRPr="006423DB" w:rsidRDefault="002C00D6" w:rsidP="00A65F3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color w:val="000000"/>
                <w:sz w:val="22"/>
                <w:szCs w:val="20"/>
              </w:rPr>
              <w:t>+420 257 015 870</w:t>
            </w:r>
          </w:p>
        </w:tc>
      </w:tr>
      <w:tr w:rsidR="00A65F3E" w:rsidRPr="009B6559" w14:paraId="384EE74E" w14:textId="77777777" w:rsidTr="3826454C">
        <w:trPr>
          <w:trHeight w:val="128"/>
        </w:trPr>
        <w:tc>
          <w:tcPr>
            <w:tcW w:w="1856" w:type="pct"/>
            <w:shd w:val="clear" w:color="auto" w:fill="auto"/>
          </w:tcPr>
          <w:p w14:paraId="2141838D" w14:textId="301812B8" w:rsidR="00A65F3E" w:rsidRPr="006423DB" w:rsidRDefault="00A65F3E" w:rsidP="00A65F3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E-mail:</w:t>
            </w:r>
          </w:p>
        </w:tc>
        <w:tc>
          <w:tcPr>
            <w:tcW w:w="3144" w:type="pct"/>
            <w:shd w:val="clear" w:color="auto" w:fill="auto"/>
          </w:tcPr>
          <w:p w14:paraId="69608EB0" w14:textId="6A41DD73" w:rsidR="00A65F3E" w:rsidRPr="006423DB" w:rsidRDefault="00A077AF" w:rsidP="00A65F3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hyperlink r:id="rId8" w:history="1">
              <w:r w:rsidR="00A65F3E" w:rsidRPr="006423DB">
                <w:rPr>
                  <w:rStyle w:val="Hypertextovodkaz"/>
                  <w:color w:val="auto"/>
                  <w:sz w:val="22"/>
                  <w:szCs w:val="20"/>
                  <w:u w:val="none"/>
                </w:rPr>
                <w:t>petr.soucek@tsk-praha.cz</w:t>
              </w:r>
            </w:hyperlink>
          </w:p>
        </w:tc>
      </w:tr>
    </w:tbl>
    <w:p w14:paraId="08AFDB59" w14:textId="7125CFC7" w:rsidR="007A7ED9" w:rsidRDefault="007A7ED9" w:rsidP="007A7ED9">
      <w:pPr>
        <w:pStyle w:val="SML11"/>
        <w:numPr>
          <w:ilvl w:val="0"/>
          <w:numId w:val="0"/>
        </w:numPr>
        <w:ind w:left="709"/>
        <w:rPr>
          <w:rStyle w:val="NormalUnderlined"/>
          <w:rFonts w:ascii="Calibri" w:eastAsia="Calibri" w:hAnsi="Calibri" w:cs="Times New Roman"/>
          <w:szCs w:val="22"/>
          <w:u w:val="none"/>
          <w:shd w:val="clear" w:color="auto" w:fill="auto"/>
        </w:rPr>
      </w:pPr>
      <w:r>
        <w:rPr>
          <w:rStyle w:val="NormalUnderlined"/>
          <w:rFonts w:ascii="Calibri" w:eastAsia="Calibri" w:hAnsi="Calibri" w:cs="Times New Roman"/>
          <w:szCs w:val="22"/>
          <w:u w:val="none"/>
          <w:shd w:val="clear" w:color="auto" w:fill="auto"/>
        </w:rPr>
        <w:t xml:space="preserve">(dále jen </w:t>
      </w:r>
      <w:r w:rsidRPr="000C2A53">
        <w:rPr>
          <w:rStyle w:val="NormalUnderlined"/>
          <w:rFonts w:ascii="Calibri" w:eastAsia="Calibri" w:hAnsi="Calibri" w:cs="Times New Roman"/>
          <w:b/>
          <w:szCs w:val="22"/>
          <w:u w:val="none"/>
          <w:shd w:val="clear" w:color="auto" w:fill="auto"/>
        </w:rPr>
        <w:t>„</w:t>
      </w:r>
      <w:r w:rsidR="000C2A53" w:rsidRPr="000C2A53">
        <w:rPr>
          <w:rStyle w:val="NormalUnderlined"/>
          <w:rFonts w:ascii="Calibri" w:eastAsia="Calibri" w:hAnsi="Calibri" w:cs="Times New Roman"/>
          <w:b/>
          <w:szCs w:val="22"/>
          <w:u w:val="none"/>
          <w:shd w:val="clear" w:color="auto" w:fill="auto"/>
        </w:rPr>
        <w:t>Zadavat</w:t>
      </w:r>
      <w:r w:rsidR="00537E96" w:rsidRPr="000C2A53">
        <w:rPr>
          <w:rStyle w:val="NormalUnderlined"/>
          <w:rFonts w:ascii="Calibri" w:eastAsia="Calibri" w:hAnsi="Calibri" w:cs="Times New Roman"/>
          <w:b/>
          <w:szCs w:val="22"/>
          <w:u w:val="none"/>
          <w:shd w:val="clear" w:color="auto" w:fill="auto"/>
        </w:rPr>
        <w:t>el</w:t>
      </w:r>
      <w:r w:rsidRPr="000C2A53">
        <w:rPr>
          <w:rStyle w:val="NormalUnderlined"/>
          <w:rFonts w:ascii="Calibri" w:eastAsia="Calibri" w:hAnsi="Calibri" w:cs="Times New Roman"/>
          <w:b/>
          <w:szCs w:val="22"/>
          <w:u w:val="none"/>
          <w:shd w:val="clear" w:color="auto" w:fill="auto"/>
        </w:rPr>
        <w:t>“</w:t>
      </w:r>
      <w:r>
        <w:rPr>
          <w:rStyle w:val="NormalUnderlined"/>
          <w:rFonts w:ascii="Calibri" w:eastAsia="Calibri" w:hAnsi="Calibri" w:cs="Times New Roman"/>
          <w:szCs w:val="22"/>
          <w:u w:val="none"/>
          <w:shd w:val="clear" w:color="auto" w:fill="auto"/>
        </w:rPr>
        <w:t>)</w:t>
      </w:r>
    </w:p>
    <w:p w14:paraId="5D7EA23F" w14:textId="4ECA95F0" w:rsidR="007A7ED9" w:rsidRPr="00972FDB" w:rsidRDefault="00537E96" w:rsidP="00A65F3E">
      <w:pPr>
        <w:pStyle w:val="SML11"/>
        <w:spacing w:after="0"/>
        <w:rPr>
          <w:rFonts w:eastAsia="Calibri" w:cs="Times New Roman"/>
          <w:szCs w:val="22"/>
          <w:shd w:val="clear" w:color="auto" w:fill="auto"/>
        </w:rPr>
      </w:pPr>
      <w:r>
        <w:rPr>
          <w:rStyle w:val="NormalUnderlined"/>
        </w:rPr>
        <w:t>Dodavatel</w:t>
      </w:r>
    </w:p>
    <w:tbl>
      <w:tblPr>
        <w:tblW w:w="4697" w:type="pct"/>
        <w:tblInd w:w="7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63"/>
        <w:gridCol w:w="5359"/>
      </w:tblGrid>
      <w:tr w:rsidR="00144C8E" w:rsidRPr="002555E3" w14:paraId="2ED498A5" w14:textId="77777777" w:rsidTr="00FB146B">
        <w:tc>
          <w:tcPr>
            <w:tcW w:w="1856" w:type="pct"/>
            <w:shd w:val="clear" w:color="auto" w:fill="auto"/>
          </w:tcPr>
          <w:p w14:paraId="0944B994" w14:textId="6EC96C59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</w:rPr>
              <w:t>Obchodní firma:</w:t>
            </w:r>
          </w:p>
        </w:tc>
        <w:tc>
          <w:tcPr>
            <w:tcW w:w="3144" w:type="pct"/>
            <w:shd w:val="clear" w:color="auto" w:fill="auto"/>
          </w:tcPr>
          <w:p w14:paraId="2C901724" w14:textId="66432073" w:rsidR="00144C8E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  <w:highlight w:val="yellow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013381BF" w14:textId="77777777" w:rsidTr="00FB146B">
        <w:tc>
          <w:tcPr>
            <w:tcW w:w="1856" w:type="pct"/>
            <w:shd w:val="clear" w:color="auto" w:fill="auto"/>
          </w:tcPr>
          <w:p w14:paraId="2CF0C03E" w14:textId="35DECB96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Sídlo:</w:t>
            </w:r>
          </w:p>
        </w:tc>
        <w:tc>
          <w:tcPr>
            <w:tcW w:w="3144" w:type="pct"/>
            <w:shd w:val="clear" w:color="auto" w:fill="auto"/>
          </w:tcPr>
          <w:p w14:paraId="2B0BDD3F" w14:textId="21915CB5" w:rsidR="00144C8E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  <w:highlight w:val="yellow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0A5B4913" w14:textId="77777777" w:rsidTr="00FB146B">
        <w:tc>
          <w:tcPr>
            <w:tcW w:w="1856" w:type="pct"/>
            <w:shd w:val="clear" w:color="auto" w:fill="auto"/>
          </w:tcPr>
          <w:p w14:paraId="30053748" w14:textId="24234852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IČ:</w:t>
            </w:r>
          </w:p>
        </w:tc>
        <w:tc>
          <w:tcPr>
            <w:tcW w:w="3144" w:type="pct"/>
            <w:shd w:val="clear" w:color="auto" w:fill="auto"/>
          </w:tcPr>
          <w:p w14:paraId="53269627" w14:textId="609E3DCE" w:rsidR="00144C8E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  <w:highlight w:val="yellow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49305298" w14:textId="77777777" w:rsidTr="00FB146B">
        <w:tc>
          <w:tcPr>
            <w:tcW w:w="1856" w:type="pct"/>
            <w:shd w:val="clear" w:color="auto" w:fill="auto"/>
          </w:tcPr>
          <w:p w14:paraId="6B0F1319" w14:textId="4C805448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DIČ:</w:t>
            </w:r>
          </w:p>
        </w:tc>
        <w:tc>
          <w:tcPr>
            <w:tcW w:w="3144" w:type="pct"/>
            <w:shd w:val="clear" w:color="auto" w:fill="auto"/>
          </w:tcPr>
          <w:p w14:paraId="3C5CA4F0" w14:textId="31B5EE90" w:rsidR="00144C8E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007C9ADC" w14:textId="77777777" w:rsidTr="00FB146B">
        <w:tc>
          <w:tcPr>
            <w:tcW w:w="1856" w:type="pct"/>
            <w:shd w:val="clear" w:color="auto" w:fill="auto"/>
          </w:tcPr>
          <w:p w14:paraId="5DDD6F07" w14:textId="7A6D2BC7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Údaj o zápisu do veřejného rejstříku:</w:t>
            </w:r>
          </w:p>
        </w:tc>
        <w:tc>
          <w:tcPr>
            <w:tcW w:w="3144" w:type="pct"/>
            <w:shd w:val="clear" w:color="auto" w:fill="auto"/>
          </w:tcPr>
          <w:p w14:paraId="12F94945" w14:textId="08884260" w:rsidR="00144C8E" w:rsidRPr="006423DB" w:rsidRDefault="00144C8E" w:rsidP="000C2A53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</w:rPr>
              <w:t xml:space="preserve">obchodní společnost zapsaná do obchodního rejstříku pod sp. zn.  </w:t>
            </w:r>
            <w:r w:rsidR="007628DA"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  <w:r w:rsidR="007628DA" w:rsidRPr="006423DB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6423DB">
              <w:rPr>
                <w:rFonts w:asciiTheme="minorHAnsi" w:hAnsiTheme="minorHAnsi"/>
                <w:sz w:val="22"/>
                <w:szCs w:val="20"/>
              </w:rPr>
              <w:t xml:space="preserve">vedenou u </w:t>
            </w:r>
            <w:r w:rsidR="007628DA"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4D3D411C" w14:textId="77777777" w:rsidTr="00FB146B">
        <w:tc>
          <w:tcPr>
            <w:tcW w:w="1856" w:type="pct"/>
            <w:shd w:val="clear" w:color="auto" w:fill="auto"/>
          </w:tcPr>
          <w:p w14:paraId="474DA5A4" w14:textId="262159B3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Zástupce – osoba oprávněná k právnímu jednání za účastníka Smlouvy:</w:t>
            </w:r>
          </w:p>
        </w:tc>
        <w:tc>
          <w:tcPr>
            <w:tcW w:w="3144" w:type="pct"/>
            <w:shd w:val="clear" w:color="auto" w:fill="auto"/>
          </w:tcPr>
          <w:p w14:paraId="0D96DAAC" w14:textId="77777777" w:rsidR="007628DA" w:rsidRPr="006423DB" w:rsidRDefault="007628DA" w:rsidP="000C2A53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</w:p>
          <w:p w14:paraId="6E54FB65" w14:textId="6F4FB087" w:rsidR="007628DA" w:rsidRPr="006423DB" w:rsidRDefault="007628DA" w:rsidP="000C2A53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0799F98C" w14:textId="77777777" w:rsidTr="00FB146B">
        <w:tc>
          <w:tcPr>
            <w:tcW w:w="1856" w:type="pct"/>
            <w:shd w:val="clear" w:color="auto" w:fill="auto"/>
          </w:tcPr>
          <w:p w14:paraId="41F7ACE8" w14:textId="4F405322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</w:rPr>
              <w:t>Kontaktní osoba ve věcech technických:</w:t>
            </w:r>
          </w:p>
        </w:tc>
        <w:tc>
          <w:tcPr>
            <w:tcW w:w="3144" w:type="pct"/>
            <w:shd w:val="clear" w:color="auto" w:fill="auto"/>
          </w:tcPr>
          <w:p w14:paraId="570F3464" w14:textId="77777777" w:rsidR="00144C8E" w:rsidRPr="006423DB" w:rsidRDefault="00144C8E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</w:p>
          <w:p w14:paraId="55B12309" w14:textId="7D59B5D1" w:rsidR="007628DA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279137EB" w14:textId="77777777" w:rsidTr="00FB146B">
        <w:tc>
          <w:tcPr>
            <w:tcW w:w="1856" w:type="pct"/>
            <w:shd w:val="clear" w:color="auto" w:fill="auto"/>
          </w:tcPr>
          <w:p w14:paraId="39072B34" w14:textId="40AEA30E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Tel.:</w:t>
            </w:r>
          </w:p>
        </w:tc>
        <w:tc>
          <w:tcPr>
            <w:tcW w:w="3144" w:type="pct"/>
            <w:shd w:val="clear" w:color="auto" w:fill="auto"/>
          </w:tcPr>
          <w:p w14:paraId="63113E55" w14:textId="505641A2" w:rsidR="00144C8E" w:rsidRPr="006423DB" w:rsidRDefault="007628DA" w:rsidP="000C2A53">
            <w:pPr>
              <w:widowControl w:val="0"/>
              <w:spacing w:before="0" w:after="0"/>
              <w:rPr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  <w:tr w:rsidR="00144C8E" w:rsidRPr="002555E3" w14:paraId="735044CC" w14:textId="77777777" w:rsidTr="00FB146B">
        <w:trPr>
          <w:trHeight w:val="52"/>
        </w:trPr>
        <w:tc>
          <w:tcPr>
            <w:tcW w:w="1856" w:type="pct"/>
            <w:shd w:val="clear" w:color="auto" w:fill="auto"/>
          </w:tcPr>
          <w:p w14:paraId="091B0193" w14:textId="1927FD63" w:rsidR="00144C8E" w:rsidRPr="006423DB" w:rsidRDefault="00144C8E" w:rsidP="00144C8E">
            <w:pPr>
              <w:widowControl w:val="0"/>
              <w:spacing w:before="0" w:after="0"/>
              <w:ind w:left="-101"/>
              <w:rPr>
                <w:rFonts w:asciiTheme="minorHAnsi" w:hAnsiTheme="minorHAnsi" w:cs="Arial"/>
                <w:sz w:val="22"/>
                <w:szCs w:val="20"/>
              </w:rPr>
            </w:pPr>
            <w:r w:rsidRPr="006423DB">
              <w:rPr>
                <w:rFonts w:asciiTheme="minorHAnsi" w:hAnsiTheme="minorHAnsi" w:cs="Arial"/>
                <w:sz w:val="22"/>
                <w:szCs w:val="20"/>
              </w:rPr>
              <w:t>E-mail:</w:t>
            </w:r>
          </w:p>
        </w:tc>
        <w:tc>
          <w:tcPr>
            <w:tcW w:w="3144" w:type="pct"/>
            <w:shd w:val="clear" w:color="auto" w:fill="auto"/>
          </w:tcPr>
          <w:p w14:paraId="6C1817A7" w14:textId="40DA79FA" w:rsidR="00144C8E" w:rsidRPr="006423DB" w:rsidRDefault="007628DA" w:rsidP="00144C8E">
            <w:pPr>
              <w:widowControl w:val="0"/>
              <w:spacing w:before="0" w:after="0"/>
              <w:rPr>
                <w:rFonts w:asciiTheme="minorHAnsi" w:hAnsiTheme="minorHAnsi"/>
                <w:sz w:val="22"/>
                <w:szCs w:val="20"/>
              </w:rPr>
            </w:pPr>
            <w:r w:rsidRPr="006423DB">
              <w:rPr>
                <w:rFonts w:asciiTheme="minorHAnsi" w:hAnsiTheme="minorHAnsi"/>
                <w:sz w:val="22"/>
                <w:szCs w:val="20"/>
                <w:highlight w:val="yellow"/>
              </w:rPr>
              <w:t>[BUDE DOPLNĚNO]</w:t>
            </w:r>
          </w:p>
        </w:tc>
      </w:tr>
    </w:tbl>
    <w:p w14:paraId="6EAD4BE0" w14:textId="5F0F74A2" w:rsidR="00537E96" w:rsidRDefault="00537E96" w:rsidP="009617AB">
      <w:pPr>
        <w:pStyle w:val="SML11"/>
        <w:numPr>
          <w:ilvl w:val="0"/>
          <w:numId w:val="0"/>
        </w:numPr>
        <w:ind w:left="709"/>
      </w:pPr>
      <w:r>
        <w:t>(dále jen „</w:t>
      </w:r>
      <w:r w:rsidRPr="00144C8E">
        <w:rPr>
          <w:b/>
        </w:rPr>
        <w:t>Dodavatel</w:t>
      </w:r>
      <w:r>
        <w:t>“)</w:t>
      </w:r>
    </w:p>
    <w:p w14:paraId="74C650F6" w14:textId="05657602" w:rsidR="009617AB" w:rsidRDefault="009617AB" w:rsidP="009617AB">
      <w:pPr>
        <w:pStyle w:val="SML11"/>
        <w:numPr>
          <w:ilvl w:val="0"/>
          <w:numId w:val="0"/>
        </w:numPr>
        <w:ind w:left="709"/>
      </w:pPr>
      <w:r>
        <w:t>(</w:t>
      </w:r>
      <w:r w:rsidR="000C2A53">
        <w:t>Zadavatel</w:t>
      </w:r>
      <w:r>
        <w:t xml:space="preserve"> a </w:t>
      </w:r>
      <w:r w:rsidR="007A7ED9">
        <w:t>D</w:t>
      </w:r>
      <w:r w:rsidR="00537E96">
        <w:t>odavatel</w:t>
      </w:r>
      <w:r>
        <w:t xml:space="preserve"> dále společně též „</w:t>
      </w:r>
      <w:r w:rsidR="007A7ED9">
        <w:rPr>
          <w:b/>
        </w:rPr>
        <w:t>Smluvní strany</w:t>
      </w:r>
      <w:r>
        <w:t>“)</w:t>
      </w:r>
    </w:p>
    <w:p w14:paraId="3614C24F" w14:textId="77777777" w:rsidR="00B64C41" w:rsidRDefault="00B64C41" w:rsidP="00B64C41">
      <w:pPr>
        <w:pStyle w:val="SML11"/>
      </w:pPr>
      <w:r w:rsidRPr="00BF6331">
        <w:lastRenderedPageBreak/>
        <w:t>Smluvní</w:t>
      </w:r>
      <w:r w:rsidRPr="00CC0827">
        <w:t xml:space="preserve"> strany prohlašují, že mají veškerá práva a způsobilost k tomu, aby plnily závazky vyplývající z této Smlouvy, a že neexistují žádné právní překážky, které by bránily či omezovaly plnění jejich závazků, a </w:t>
      </w:r>
      <w:r w:rsidRPr="00CC0827">
        <w:rPr>
          <w:iCs/>
        </w:rPr>
        <w:t>že uzavřením Smlouvy nedojde k porušení žádného právního předpisu</w:t>
      </w:r>
      <w:r w:rsidRPr="00CC0827">
        <w:t>.</w:t>
      </w:r>
    </w:p>
    <w:p w14:paraId="3AC1A91B" w14:textId="2EC0C789" w:rsidR="00C429C3" w:rsidRDefault="00C429C3" w:rsidP="0002343E">
      <w:pPr>
        <w:pStyle w:val="SML11"/>
      </w:pPr>
      <w:r>
        <w:t xml:space="preserve">Dodavatel </w:t>
      </w:r>
      <w:r w:rsidR="0002343E">
        <w:t xml:space="preserve">se, co by </w:t>
      </w:r>
      <w:r w:rsidR="001750C2">
        <w:t>účastník</w:t>
      </w:r>
      <w:r w:rsidR="0002343E">
        <w:t xml:space="preserve">, účastní </w:t>
      </w:r>
      <w:r w:rsidR="00D22080">
        <w:t>jednacího řízení s uveřejněním</w:t>
      </w:r>
      <w:r w:rsidR="00D22080" w:rsidRPr="00E9635B">
        <w:t xml:space="preserve"> </w:t>
      </w:r>
      <w:r w:rsidR="00D22080">
        <w:t>zadávaného</w:t>
      </w:r>
      <w:r w:rsidRPr="00E9635B">
        <w:t xml:space="preserve"> </w:t>
      </w:r>
      <w:r w:rsidRPr="000356DD">
        <w:t>ve smyslu § </w:t>
      </w:r>
      <w:r w:rsidR="00D22080">
        <w:t>60 a násl.</w:t>
      </w:r>
      <w:r w:rsidR="00D22080" w:rsidRPr="000356DD">
        <w:t xml:space="preserve"> </w:t>
      </w:r>
      <w:r w:rsidRPr="000356DD">
        <w:t>zákona č. </w:t>
      </w:r>
      <w:r w:rsidR="00D22080" w:rsidRPr="000356DD">
        <w:t>13</w:t>
      </w:r>
      <w:r w:rsidR="00D22080">
        <w:t>4</w:t>
      </w:r>
      <w:r w:rsidRPr="000356DD">
        <w:t>/</w:t>
      </w:r>
      <w:r w:rsidR="00D22080" w:rsidRPr="000356DD">
        <w:t>20</w:t>
      </w:r>
      <w:r w:rsidR="00D22080">
        <w:t>1</w:t>
      </w:r>
      <w:r w:rsidR="00D22080" w:rsidRPr="000356DD">
        <w:t xml:space="preserve">6 </w:t>
      </w:r>
      <w:r w:rsidRPr="000356DD">
        <w:t xml:space="preserve">Sb., o </w:t>
      </w:r>
      <w:r w:rsidR="00D22080">
        <w:t xml:space="preserve">zadávání </w:t>
      </w:r>
      <w:r w:rsidRPr="000356DD">
        <w:t>veřejných zakáz</w:t>
      </w:r>
      <w:r w:rsidR="00D22080">
        <w:t>e</w:t>
      </w:r>
      <w:r w:rsidRPr="000356DD">
        <w:t>k,</w:t>
      </w:r>
      <w:r w:rsidRPr="00E9635B">
        <w:t xml:space="preserve"> ve znění pozdějších </w:t>
      </w:r>
      <w:r w:rsidRPr="00A61C72">
        <w:t>předpisů</w:t>
      </w:r>
      <w:r w:rsidR="001750C2">
        <w:t xml:space="preserve"> (dále jen „</w:t>
      </w:r>
      <w:r w:rsidR="001750C2" w:rsidRPr="00633AA9">
        <w:rPr>
          <w:b/>
          <w:bCs w:val="0"/>
        </w:rPr>
        <w:t>Zadávací řízení</w:t>
      </w:r>
      <w:r w:rsidR="001750C2">
        <w:t>“)</w:t>
      </w:r>
      <w:r>
        <w:t>, na výběr dodavatele veřejné zakázky</w:t>
      </w:r>
      <w:r w:rsidRPr="000356DD">
        <w:t xml:space="preserve"> „</w:t>
      </w:r>
      <w:r w:rsidR="0002343E" w:rsidRPr="00343FFE">
        <w:rPr>
          <w:i/>
          <w:iCs/>
        </w:rPr>
        <w:t>Monitoring místních komunikací</w:t>
      </w:r>
      <w:r w:rsidRPr="00343FFE">
        <w:rPr>
          <w:i/>
        </w:rPr>
        <w:t>“</w:t>
      </w:r>
      <w:r w:rsidR="0002343E">
        <w:rPr>
          <w:i/>
        </w:rPr>
        <w:t xml:space="preserve"> </w:t>
      </w:r>
      <w:r w:rsidR="0002343E" w:rsidRPr="0002343E">
        <w:t>(dále jen</w:t>
      </w:r>
      <w:r w:rsidR="0002343E">
        <w:rPr>
          <w:i/>
        </w:rPr>
        <w:t xml:space="preserve"> </w:t>
      </w:r>
      <w:r w:rsidR="0002343E" w:rsidRPr="0002343E">
        <w:rPr>
          <w:b/>
        </w:rPr>
        <w:t>„Veřejná zakázka“</w:t>
      </w:r>
      <w:r w:rsidR="0002343E" w:rsidRPr="0002343E">
        <w:t>)</w:t>
      </w:r>
      <w:r w:rsidRPr="0002343E">
        <w:t xml:space="preserve">. </w:t>
      </w:r>
    </w:p>
    <w:p w14:paraId="486B9B3E" w14:textId="16BFBEEF" w:rsidR="00F97D72" w:rsidRDefault="00F97D72" w:rsidP="00144C8E">
      <w:pPr>
        <w:pStyle w:val="SML11"/>
      </w:pPr>
      <w:r>
        <w:t xml:space="preserve">V rámci </w:t>
      </w:r>
      <w:r w:rsidR="001750C2">
        <w:t>p</w:t>
      </w:r>
      <w:r w:rsidR="0002343E">
        <w:t xml:space="preserve">raktické zkoušky </w:t>
      </w:r>
      <w:r w:rsidR="001750C2">
        <w:t xml:space="preserve">ve smyslu zadávací dokumentace </w:t>
      </w:r>
      <w:r w:rsidR="0002343E">
        <w:t>k Veřejné zakázce</w:t>
      </w:r>
      <w:r w:rsidR="001750C2">
        <w:t>, resp. ve smyslu přílohy k této Smlouvě (dále jen „</w:t>
      </w:r>
      <w:r w:rsidR="001750C2" w:rsidRPr="655869BD">
        <w:rPr>
          <w:b/>
        </w:rPr>
        <w:t>Praktická zkouška</w:t>
      </w:r>
      <w:r w:rsidR="001750C2">
        <w:t>“)</w:t>
      </w:r>
      <w:r w:rsidR="0002343E">
        <w:t xml:space="preserve"> bude </w:t>
      </w:r>
      <w:r>
        <w:t>Dodavatel</w:t>
      </w:r>
      <w:r w:rsidR="0002343E">
        <w:t xml:space="preserve"> vykonávat </w:t>
      </w:r>
      <w:r>
        <w:t xml:space="preserve">činnosti, jejichž předmětem je </w:t>
      </w:r>
      <w:r w:rsidR="00623138">
        <w:t xml:space="preserve">mimo jiné </w:t>
      </w:r>
      <w:r>
        <w:t>zpracování osobních údajů ve smyslu § 4 a</w:t>
      </w:r>
      <w:r w:rsidR="00F62F08">
        <w:t xml:space="preserve"> násl.</w:t>
      </w:r>
      <w:r>
        <w:t xml:space="preserve"> zákona č. </w:t>
      </w:r>
      <w:r w:rsidR="00F62F08">
        <w:t xml:space="preserve">110/2019 Sb., o zpracování osobních údajů </w:t>
      </w:r>
      <w:r>
        <w:t>(dále jen „</w:t>
      </w:r>
      <w:r w:rsidRPr="655869BD">
        <w:rPr>
          <w:b/>
        </w:rPr>
        <w:t>Z</w:t>
      </w:r>
      <w:r w:rsidR="00F62F08" w:rsidRPr="655869BD">
        <w:rPr>
          <w:b/>
        </w:rPr>
        <w:t>Z</w:t>
      </w:r>
      <w:r w:rsidRPr="655869BD">
        <w:rPr>
          <w:b/>
        </w:rPr>
        <w:t>OÚ</w:t>
      </w:r>
      <w:r>
        <w:t>“)</w:t>
      </w:r>
      <w:r w:rsidR="00465108">
        <w:t>, resp.</w:t>
      </w:r>
      <w:r>
        <w:t xml:space="preserve"> čl. 4 odst. 1 nařízení </w:t>
      </w:r>
      <w:bookmarkStart w:id="0" w:name="_Hlk517944224"/>
      <w:r>
        <w:t>Evropského parlamentu a Rady (EU) 2016/679 ze dne 27. dubna 2016 o ochraně fyzických osob v souvislosti se zpracováním osobních údajů a o volném pohybu těchto údajů a o zrušení směrnice 95/46/ES (obecné nařízení o ochraně osobních údajů, dále jen „</w:t>
      </w:r>
      <w:r w:rsidRPr="655869BD">
        <w:rPr>
          <w:b/>
        </w:rPr>
        <w:t>GDPR</w:t>
      </w:r>
      <w:r>
        <w:t>“)</w:t>
      </w:r>
      <w:bookmarkEnd w:id="0"/>
      <w:r>
        <w:t xml:space="preserve">. </w:t>
      </w:r>
      <w:r w:rsidR="0002343E">
        <w:t>Tyto činnosti bud</w:t>
      </w:r>
      <w:r w:rsidR="14F43D23">
        <w:t>e</w:t>
      </w:r>
      <w:r w:rsidR="0002343E">
        <w:t xml:space="preserve"> Dodavatel provádět za účelem vyhodnocení </w:t>
      </w:r>
      <w:r w:rsidR="001750C2">
        <w:t xml:space="preserve">Zadávacího </w:t>
      </w:r>
      <w:r w:rsidR="0002343E">
        <w:t xml:space="preserve">řízení a to způsobem a podle pokynů Zadavatele, který </w:t>
      </w:r>
      <w:r w:rsidR="006F20F9">
        <w:t>byl hlavním městem Prahou (dále jen „</w:t>
      </w:r>
      <w:r w:rsidR="006F20F9" w:rsidRPr="655869BD">
        <w:rPr>
          <w:b/>
        </w:rPr>
        <w:t>HMP</w:t>
      </w:r>
      <w:r w:rsidR="006F20F9">
        <w:t>“) pověřen k provozu a správě zón placeného stání v hlavním městě Praze (dále jen „</w:t>
      </w:r>
      <w:r w:rsidR="006F20F9" w:rsidRPr="655869BD">
        <w:rPr>
          <w:b/>
        </w:rPr>
        <w:t>ZPS</w:t>
      </w:r>
      <w:r w:rsidR="006F20F9">
        <w:t xml:space="preserve">“) ve smyslu § 23 zákona č. 13/1997 Sb., zákon o pozemních komunikacích, ve znění předpisů, a to jako organizace územního samosprávného celku. </w:t>
      </w:r>
    </w:p>
    <w:p w14:paraId="7EC2A2C4" w14:textId="140FDF74" w:rsidR="00C637CE" w:rsidRDefault="00C637CE" w:rsidP="00144C8E">
      <w:pPr>
        <w:pStyle w:val="SML11"/>
      </w:pPr>
      <w:r>
        <w:t>V rámci Zadávacího řízení, a zejména pro účely Praktické zkoušky, budou</w:t>
      </w:r>
      <w:r w:rsidR="001053FC">
        <w:t xml:space="preserve"> dále</w:t>
      </w:r>
      <w:r>
        <w:t xml:space="preserve"> Dodavateli poskytnuty či jinak zpřístupněny důvěrné informace (dále jen „</w:t>
      </w:r>
      <w:r w:rsidRPr="0068718E">
        <w:rPr>
          <w:b/>
          <w:bCs w:val="0"/>
        </w:rPr>
        <w:t>Důvěrné informace</w:t>
      </w:r>
      <w:r>
        <w:t xml:space="preserve">“), kterými se pro účely této Smlouvy rozumí </w:t>
      </w:r>
      <w:r w:rsidR="00ED4CBB">
        <w:t>vedle Osobních údajů (jak jsou definovány dále) a informací o jejich zpracování</w:t>
      </w:r>
      <w:r w:rsidR="00E952AA">
        <w:t xml:space="preserve"> (</w:t>
      </w:r>
      <w:r w:rsidR="00ED4CBB">
        <w:t>vč. bezpečnostních opatření přijatých v rámci jejich zpracování</w:t>
      </w:r>
      <w:r w:rsidR="00E952AA">
        <w:t>)</w:t>
      </w:r>
      <w:r w:rsidR="00ED4CBB">
        <w:t xml:space="preserve"> </w:t>
      </w:r>
      <w:r w:rsidR="001053FC">
        <w:t>veškeré informace jakékoliv povahy</w:t>
      </w:r>
      <w:r w:rsidR="00623138">
        <w:t>,</w:t>
      </w:r>
      <w:r w:rsidR="001053FC">
        <w:t xml:space="preserve"> </w:t>
      </w:r>
      <w:r w:rsidR="00623138">
        <w:t xml:space="preserve">které budou Dodavateli poskytnuty či jinak zpřístupněny v průběhu Zadávacího řízení a které </w:t>
      </w:r>
      <w:r w:rsidR="001053FC">
        <w:t xml:space="preserve">se </w:t>
      </w:r>
      <w:r w:rsidR="00623138">
        <w:t xml:space="preserve">týkají </w:t>
      </w:r>
      <w:r w:rsidR="001053FC">
        <w:t xml:space="preserve">Zadavatele, ZPS </w:t>
      </w:r>
      <w:r w:rsidR="00256883">
        <w:t xml:space="preserve">(vč. </w:t>
      </w:r>
      <w:r w:rsidR="001053FC">
        <w:t>jejich organizace či správy</w:t>
      </w:r>
      <w:r w:rsidR="00256883">
        <w:t>)</w:t>
      </w:r>
      <w:r w:rsidR="001053FC">
        <w:t xml:space="preserve">, informačních systémů ZPS </w:t>
      </w:r>
      <w:r w:rsidR="00256883">
        <w:t xml:space="preserve">(vč. </w:t>
      </w:r>
      <w:r w:rsidR="001053FC">
        <w:t>jejich provozu</w:t>
      </w:r>
      <w:r w:rsidR="00256883">
        <w:t>)</w:t>
      </w:r>
      <w:r w:rsidR="001053FC">
        <w:t xml:space="preserve"> nebo přípravy a</w:t>
      </w:r>
      <w:r w:rsidR="00256883">
        <w:t xml:space="preserve"> navazující</w:t>
      </w:r>
      <w:r w:rsidR="001053FC">
        <w:t xml:space="preserve"> realizace Praktické zkoušk</w:t>
      </w:r>
      <w:r w:rsidR="00623138">
        <w:t>y.</w:t>
      </w:r>
      <w:r w:rsidR="001053FC">
        <w:t xml:space="preserve"> Za Důvěrné informace se však nepovažují takové informace, které jsou zpřístupněné veřejnosti (jinak než porušením povinnosti mlčenlivosti Dodavatele či jiného účastníka Zadávacího řízení) nebo které jsou všeobecně známé</w:t>
      </w:r>
      <w:r w:rsidR="00E952AA">
        <w:t>; pro vyloučení pochybností je ujednáno, že předchozí větou nejsou jakkoliv dotčeny povinnosti Dodavatele ve vztahu ke zpracování Osobních údajů dle této Smlouvy.</w:t>
      </w:r>
    </w:p>
    <w:p w14:paraId="632F7981" w14:textId="3578BB4B" w:rsidR="00F97D72" w:rsidRDefault="00B64C41" w:rsidP="00144C8E">
      <w:pPr>
        <w:pStyle w:val="SML11"/>
      </w:pPr>
      <w:r w:rsidRPr="00B64C41">
        <w:t xml:space="preserve">Smluvní strany </w:t>
      </w:r>
      <w:r w:rsidR="00437785">
        <w:t xml:space="preserve">se </w:t>
      </w:r>
      <w:r w:rsidRPr="00B64C41">
        <w:t xml:space="preserve">proto </w:t>
      </w:r>
      <w:r w:rsidR="00437785">
        <w:t xml:space="preserve">rozhodly </w:t>
      </w:r>
      <w:r w:rsidR="00437785" w:rsidRPr="001750C2">
        <w:t>uzavřít tuto</w:t>
      </w:r>
      <w:r w:rsidRPr="001750C2">
        <w:t xml:space="preserve"> Smlouv</w:t>
      </w:r>
      <w:r w:rsidR="00437785" w:rsidRPr="001750C2">
        <w:t>u</w:t>
      </w:r>
      <w:r w:rsidRPr="001750C2">
        <w:t xml:space="preserve">, kterou jsou upřesněny práva a povinnosti </w:t>
      </w:r>
      <w:r w:rsidR="00437785" w:rsidRPr="001750C2">
        <w:t xml:space="preserve">Smluvních </w:t>
      </w:r>
      <w:r w:rsidRPr="001750C2">
        <w:t xml:space="preserve">stran související </w:t>
      </w:r>
      <w:r w:rsidR="00623138">
        <w:t xml:space="preserve">(I) </w:t>
      </w:r>
      <w:r w:rsidRPr="001750C2">
        <w:t xml:space="preserve">se zpracováním osobních údajů </w:t>
      </w:r>
      <w:r w:rsidR="001277A9" w:rsidRPr="001750C2">
        <w:t xml:space="preserve">v kontextu </w:t>
      </w:r>
      <w:r w:rsidR="0002343E" w:rsidRPr="001750C2">
        <w:t xml:space="preserve">s Praktickou zkouškou, která je součástí </w:t>
      </w:r>
      <w:r w:rsidR="001750C2">
        <w:t>Zadávacího</w:t>
      </w:r>
      <w:r w:rsidR="0002343E" w:rsidRPr="001750C2">
        <w:t xml:space="preserve"> řízení </w:t>
      </w:r>
      <w:r w:rsidRPr="001750C2">
        <w:t>tak, aby byly naplněny zákonné požadavky na zpracování osobních údajů, zejména vyplývající ze Z</w:t>
      </w:r>
      <w:r w:rsidR="00A81EBA" w:rsidRPr="001750C2">
        <w:t>Z</w:t>
      </w:r>
      <w:r w:rsidRPr="001750C2">
        <w:t>OÚ a GDPR, a aby byl naplněn účel zpracování osobních údajů, jak je</w:t>
      </w:r>
      <w:r w:rsidRPr="00B64C41">
        <w:t xml:space="preserve"> vymezilo HMP</w:t>
      </w:r>
      <w:r w:rsidR="0002343E">
        <w:t xml:space="preserve"> při pověření Zadavatele</w:t>
      </w:r>
      <w:r w:rsidR="00623138">
        <w:t>, a dále (II) s ochranou Důvěrných informací</w:t>
      </w:r>
      <w:r w:rsidRPr="00B64C41">
        <w:t>.</w:t>
      </w:r>
    </w:p>
    <w:p w14:paraId="139ED751" w14:textId="35DB6865" w:rsidR="009617AB" w:rsidRDefault="009617AB" w:rsidP="009617AB">
      <w:pPr>
        <w:pStyle w:val="SML1"/>
      </w:pPr>
      <w:r>
        <w:t xml:space="preserve">Předmět </w:t>
      </w:r>
      <w:r w:rsidR="00B64C41">
        <w:t>Smlouvy</w:t>
      </w:r>
    </w:p>
    <w:p w14:paraId="4FB6EB3B" w14:textId="463F8B3C" w:rsidR="00102D5A" w:rsidRDefault="00102D5A" w:rsidP="00102D5A">
      <w:pPr>
        <w:pStyle w:val="SML11"/>
      </w:pPr>
      <w:r w:rsidRPr="00017CA2">
        <w:t xml:space="preserve">Předmětem </w:t>
      </w:r>
      <w:r w:rsidR="00B64C41">
        <w:t>Smlouvy</w:t>
      </w:r>
      <w:r w:rsidR="00B64C41" w:rsidRPr="00017CA2">
        <w:t xml:space="preserve"> </w:t>
      </w:r>
      <w:r w:rsidRPr="00017CA2">
        <w:t xml:space="preserve">je </w:t>
      </w:r>
      <w:r w:rsidRPr="00AF3D22">
        <w:t>stanovení</w:t>
      </w:r>
      <w:r w:rsidRPr="00017CA2">
        <w:t xml:space="preserve"> práv a povinností </w:t>
      </w:r>
      <w:r>
        <w:t>S</w:t>
      </w:r>
      <w:r w:rsidRPr="00017CA2">
        <w:t>mluvních stran souvisejících se zpracováním osobních údaj</w:t>
      </w:r>
      <w:r>
        <w:t>ů</w:t>
      </w:r>
      <w:r w:rsidR="00623138">
        <w:t xml:space="preserve"> a s ochranou Důvěrných informací</w:t>
      </w:r>
      <w:r>
        <w:t>, a to za podmínek uvedených dále v</w:t>
      </w:r>
      <w:r w:rsidR="00B64C41">
        <w:t> této Smlouvě</w:t>
      </w:r>
      <w:r>
        <w:t>.</w:t>
      </w:r>
    </w:p>
    <w:p w14:paraId="376B281A" w14:textId="0C25EC5B" w:rsidR="00102D5A" w:rsidRDefault="00102D5A" w:rsidP="00102D5A">
      <w:pPr>
        <w:pStyle w:val="SML11"/>
      </w:pPr>
      <w:r>
        <w:lastRenderedPageBreak/>
        <w:t>D</w:t>
      </w:r>
      <w:r w:rsidR="003E6C77">
        <w:t>odavatel</w:t>
      </w:r>
      <w:r>
        <w:t xml:space="preserve"> se zavazuje pro </w:t>
      </w:r>
      <w:r w:rsidR="000C2A53">
        <w:t>Zadavatel</w:t>
      </w:r>
      <w:r>
        <w:t xml:space="preserve">e zpracovávat osobní údaje v rozsahu, za účely, po dobu a způsoby uvedenými v článku </w:t>
      </w:r>
      <w:r>
        <w:rPr>
          <w:bCs w:val="0"/>
        </w:rPr>
        <w:fldChar w:fldCharType="begin"/>
      </w:r>
      <w:r>
        <w:instrText xml:space="preserve"> REF _Ref507054293 \r \h </w:instrText>
      </w:r>
      <w:r>
        <w:rPr>
          <w:bCs w:val="0"/>
        </w:rPr>
      </w:r>
      <w:r>
        <w:rPr>
          <w:bCs w:val="0"/>
        </w:rPr>
        <w:fldChar w:fldCharType="separate"/>
      </w:r>
      <w:r w:rsidR="00B108F3">
        <w:t>3</w:t>
      </w:r>
      <w:r>
        <w:rPr>
          <w:bCs w:val="0"/>
        </w:rPr>
        <w:fldChar w:fldCharType="end"/>
      </w:r>
      <w:r w:rsidR="006F5D7A">
        <w:rPr>
          <w:bCs w:val="0"/>
        </w:rPr>
        <w:t>.</w:t>
      </w:r>
      <w:r>
        <w:t xml:space="preserve"> </w:t>
      </w:r>
      <w:r w:rsidR="00B64C41">
        <w:t>této Smlouvy</w:t>
      </w:r>
      <w:r>
        <w:t xml:space="preserve">, a to v souladu s doloženými pokyny </w:t>
      </w:r>
      <w:r w:rsidR="000C2A53">
        <w:t>Zadavatel</w:t>
      </w:r>
      <w:r>
        <w:t>e vydanými v souladu s odst.</w:t>
      </w:r>
      <w:r w:rsidR="00744B92">
        <w:rPr>
          <w:bCs w:val="0"/>
        </w:rPr>
        <w:t xml:space="preserve"> </w:t>
      </w:r>
      <w:r w:rsidR="00744B92">
        <w:rPr>
          <w:bCs w:val="0"/>
        </w:rPr>
        <w:fldChar w:fldCharType="begin"/>
      </w:r>
      <w:r w:rsidR="00744B92">
        <w:rPr>
          <w:bCs w:val="0"/>
        </w:rPr>
        <w:instrText xml:space="preserve"> REF _Ref2759875 \r \h </w:instrText>
      </w:r>
      <w:r w:rsidR="00744B92">
        <w:rPr>
          <w:bCs w:val="0"/>
        </w:rPr>
      </w:r>
      <w:r w:rsidR="00744B92">
        <w:rPr>
          <w:bCs w:val="0"/>
        </w:rPr>
        <w:fldChar w:fldCharType="separate"/>
      </w:r>
      <w:r w:rsidR="00B108F3">
        <w:rPr>
          <w:bCs w:val="0"/>
        </w:rPr>
        <w:t>3.6</w:t>
      </w:r>
      <w:r w:rsidR="00744B92">
        <w:rPr>
          <w:bCs w:val="0"/>
        </w:rPr>
        <w:fldChar w:fldCharType="end"/>
      </w:r>
      <w:r w:rsidR="006F5D7A">
        <w:rPr>
          <w:bCs w:val="0"/>
        </w:rPr>
        <w:t>.</w:t>
      </w:r>
      <w:r>
        <w:t xml:space="preserve"> </w:t>
      </w:r>
      <w:r w:rsidR="00B64C41">
        <w:t>této Smlouvy</w:t>
      </w:r>
      <w:r>
        <w:t>.</w:t>
      </w:r>
    </w:p>
    <w:p w14:paraId="65D217A2" w14:textId="409FE9A2" w:rsidR="00447098" w:rsidRDefault="00447098" w:rsidP="00447098">
      <w:pPr>
        <w:pStyle w:val="SML11"/>
      </w:pPr>
      <w:r w:rsidRPr="00C41B64">
        <w:t xml:space="preserve">Podmínky a rozsah zpracování </w:t>
      </w:r>
      <w:r>
        <w:t>o</w:t>
      </w:r>
      <w:r w:rsidRPr="00C41B64">
        <w:t xml:space="preserve">sobních údajů </w:t>
      </w:r>
      <w:r>
        <w:t>Dodavatelem</w:t>
      </w:r>
      <w:r w:rsidRPr="00C41B64">
        <w:t xml:space="preserve"> a technický a organizační popis zpracování osobních údajů jsou stanoveny </w:t>
      </w:r>
      <w:r w:rsidR="00ED4CBB">
        <w:t xml:space="preserve">v příloze této </w:t>
      </w:r>
      <w:r>
        <w:t>Smlouvy.</w:t>
      </w:r>
      <w:r w:rsidR="009113D3">
        <w:t xml:space="preserve"> Je výslovně ujednáno, že Zadavatel nabývá ve vztahu ke všem datům či jiným výstupům, které budou </w:t>
      </w:r>
      <w:r w:rsidR="008A0B21">
        <w:t xml:space="preserve">Dodavatelem </w:t>
      </w:r>
      <w:r w:rsidR="009113D3">
        <w:t xml:space="preserve">pořízeny v průběhu Praktické zkoušky a které budou Zadavateli předány či jinak zpřístupněny </w:t>
      </w:r>
      <w:r w:rsidR="008A0B21">
        <w:t xml:space="preserve">pro účely vyhodnocení Praktické zkoušky, </w:t>
      </w:r>
      <w:r w:rsidR="009113D3">
        <w:t>vlastnické právo</w:t>
      </w:r>
      <w:r w:rsidR="008A0B21">
        <w:t>, a není-li to možné, pak výhradní oprávnění k užití těchto výstupů</w:t>
      </w:r>
      <w:r w:rsidR="0068718E">
        <w:t xml:space="preserve"> v nejširším možném rozsahu</w:t>
      </w:r>
      <w:r w:rsidR="008A0B21">
        <w:t xml:space="preserve">, a to </w:t>
      </w:r>
      <w:r w:rsidR="006F1A1E">
        <w:t xml:space="preserve">okamžikem jejich předání či zpřístupnění Zadavateli a </w:t>
      </w:r>
      <w:r w:rsidR="008A0B21">
        <w:t xml:space="preserve">pro účely Zadávacího řízení, a zejména pro účely </w:t>
      </w:r>
      <w:r w:rsidR="006F1A1E">
        <w:t xml:space="preserve">porovnání výsledků a </w:t>
      </w:r>
      <w:r w:rsidR="008A0B21">
        <w:t>vyhodnocení Praktické zkoušky</w:t>
      </w:r>
      <w:r w:rsidR="009678B2">
        <w:t>.</w:t>
      </w:r>
      <w:r w:rsidR="008A0B21">
        <w:t xml:space="preserve"> Dodavatel se zavazuje převést vlastnické právo či poskytnout výhradní oprávnění ve smyslu předchozí věty bez nároku na úhradu jakékoliv peněžité odměny</w:t>
      </w:r>
      <w:r w:rsidR="009678B2">
        <w:t>; tím</w:t>
      </w:r>
      <w:r w:rsidR="00CD2991">
        <w:t xml:space="preserve"> není dotčeno právo Dodavatele na úhradu nákladů ve smyslu</w:t>
      </w:r>
      <w:r w:rsidR="008A0B21">
        <w:t xml:space="preserve"> zadávací dokumentace k Veřejné zakázce.</w:t>
      </w:r>
    </w:p>
    <w:p w14:paraId="61998B10" w14:textId="77777777" w:rsidR="008A481B" w:rsidRDefault="008A481B" w:rsidP="008A481B">
      <w:pPr>
        <w:pStyle w:val="SML1"/>
      </w:pPr>
      <w:bookmarkStart w:id="1" w:name="_Ref507054293"/>
      <w:r>
        <w:t>Zpracování osobních údajů</w:t>
      </w:r>
      <w:bookmarkEnd w:id="1"/>
    </w:p>
    <w:p w14:paraId="5A78DD72" w14:textId="5330EFB4" w:rsidR="008A481B" w:rsidRDefault="0098735D" w:rsidP="008A481B">
      <w:pPr>
        <w:pStyle w:val="SML11"/>
        <w:keepNext/>
      </w:pPr>
      <w:bookmarkStart w:id="2" w:name="_Ref491074694"/>
      <w:r>
        <w:t>Dodavatel</w:t>
      </w:r>
      <w:r w:rsidR="008A481B">
        <w:t xml:space="preserve"> se zavazuje na základě </w:t>
      </w:r>
      <w:r w:rsidR="00B64C41">
        <w:t>této Smlouvy</w:t>
      </w:r>
      <w:r w:rsidR="008A481B">
        <w:t xml:space="preserve"> zpracovávat následující kategorie a</w:t>
      </w:r>
      <w:r w:rsidR="00400EF0">
        <w:t> </w:t>
      </w:r>
      <w:r w:rsidR="008A481B">
        <w:t>typy osobních údajů týkající se následujících kategorií subjektů údajů (dále jen „</w:t>
      </w:r>
      <w:r w:rsidR="008A481B" w:rsidRPr="0050328F">
        <w:rPr>
          <w:b/>
        </w:rPr>
        <w:t>Osobní údaje</w:t>
      </w:r>
      <w:r w:rsidR="008A481B">
        <w:t xml:space="preserve">“): </w:t>
      </w:r>
      <w:bookmarkEnd w:id="2"/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839"/>
        <w:gridCol w:w="2524"/>
        <w:gridCol w:w="2990"/>
      </w:tblGrid>
      <w:tr w:rsidR="008A481B" w14:paraId="0636EAB3" w14:textId="77777777" w:rsidTr="3826454C">
        <w:tc>
          <w:tcPr>
            <w:tcW w:w="2839" w:type="dxa"/>
            <w:shd w:val="clear" w:color="auto" w:fill="AEAAAA" w:themeFill="background2" w:themeFillShade="BF"/>
          </w:tcPr>
          <w:p w14:paraId="69D4492F" w14:textId="77777777" w:rsidR="008A481B" w:rsidRPr="0050328F" w:rsidRDefault="008A481B" w:rsidP="00FB146B">
            <w:pPr>
              <w:pStyle w:val="SML11"/>
              <w:keepNext/>
              <w:numPr>
                <w:ilvl w:val="0"/>
                <w:numId w:val="0"/>
              </w:numPr>
              <w:rPr>
                <w:b/>
                <w:sz w:val="20"/>
                <w:highlight w:val="darkGray"/>
              </w:rPr>
            </w:pPr>
            <w:r>
              <w:rPr>
                <w:b/>
                <w:sz w:val="20"/>
                <w:highlight w:val="darkGray"/>
              </w:rPr>
              <w:t>Typ</w:t>
            </w:r>
            <w:r w:rsidRPr="0050328F">
              <w:rPr>
                <w:b/>
                <w:sz w:val="20"/>
                <w:highlight w:val="darkGray"/>
              </w:rPr>
              <w:t xml:space="preserve"> osobních údajů</w:t>
            </w:r>
          </w:p>
        </w:tc>
        <w:tc>
          <w:tcPr>
            <w:tcW w:w="2524" w:type="dxa"/>
            <w:shd w:val="clear" w:color="auto" w:fill="AEAAAA" w:themeFill="background2" w:themeFillShade="BF"/>
          </w:tcPr>
          <w:p w14:paraId="10088A10" w14:textId="77777777" w:rsidR="008A481B" w:rsidRPr="0050328F" w:rsidRDefault="008A481B" w:rsidP="00FB146B">
            <w:pPr>
              <w:pStyle w:val="SML11"/>
              <w:keepNext/>
              <w:numPr>
                <w:ilvl w:val="0"/>
                <w:numId w:val="0"/>
              </w:numPr>
              <w:rPr>
                <w:b/>
                <w:sz w:val="20"/>
                <w:highlight w:val="darkGray"/>
              </w:rPr>
            </w:pPr>
            <w:r>
              <w:rPr>
                <w:b/>
                <w:sz w:val="20"/>
                <w:highlight w:val="darkGray"/>
              </w:rPr>
              <w:t>Kategorie osobních údajů</w:t>
            </w:r>
          </w:p>
        </w:tc>
        <w:tc>
          <w:tcPr>
            <w:tcW w:w="2990" w:type="dxa"/>
            <w:shd w:val="clear" w:color="auto" w:fill="AEAAAA" w:themeFill="background2" w:themeFillShade="BF"/>
          </w:tcPr>
          <w:p w14:paraId="32A53033" w14:textId="77777777" w:rsidR="008A481B" w:rsidRPr="0050328F" w:rsidRDefault="008A481B" w:rsidP="00FB146B">
            <w:pPr>
              <w:pStyle w:val="SML11"/>
              <w:keepNext/>
              <w:numPr>
                <w:ilvl w:val="0"/>
                <w:numId w:val="0"/>
              </w:numPr>
              <w:rPr>
                <w:b/>
                <w:sz w:val="20"/>
                <w:highlight w:val="darkGray"/>
              </w:rPr>
            </w:pPr>
            <w:r w:rsidRPr="0050328F">
              <w:rPr>
                <w:b/>
                <w:sz w:val="20"/>
                <w:highlight w:val="darkGray"/>
              </w:rPr>
              <w:t>Kategorie subjektů údajů, ke kterým se osobní údaje vztahují</w:t>
            </w:r>
          </w:p>
        </w:tc>
      </w:tr>
      <w:tr w:rsidR="003E6C77" w14:paraId="530B825C" w14:textId="77777777" w:rsidTr="3826454C">
        <w:tc>
          <w:tcPr>
            <w:tcW w:w="2839" w:type="dxa"/>
          </w:tcPr>
          <w:p w14:paraId="03D68429" w14:textId="60E5F3B4" w:rsidR="003E6C77" w:rsidRPr="0050328F" w:rsidRDefault="003E6C77" w:rsidP="003E6C77">
            <w:pPr>
              <w:pStyle w:val="SML1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Obecné typy osobních údajů</w:t>
            </w:r>
          </w:p>
        </w:tc>
        <w:tc>
          <w:tcPr>
            <w:tcW w:w="2524" w:type="dxa"/>
          </w:tcPr>
          <w:p w14:paraId="3A14C8D0" w14:textId="214DD1A4" w:rsidR="00E5250F" w:rsidRDefault="00EC07D3" w:rsidP="00E5250F">
            <w:pPr>
              <w:pStyle w:val="SML11"/>
              <w:numPr>
                <w:ilvl w:val="0"/>
                <w:numId w:val="7"/>
              </w:numPr>
              <w:ind w:left="169" w:hanging="169"/>
              <w:rPr>
                <w:sz w:val="20"/>
              </w:rPr>
            </w:pPr>
            <w:r>
              <w:rPr>
                <w:sz w:val="20"/>
              </w:rPr>
              <w:t>F</w:t>
            </w:r>
            <w:r w:rsidR="003E6C77">
              <w:rPr>
                <w:sz w:val="20"/>
              </w:rPr>
              <w:t>otodokumentac</w:t>
            </w:r>
            <w:r w:rsidR="00220348">
              <w:rPr>
                <w:sz w:val="20"/>
              </w:rPr>
              <w:t>e</w:t>
            </w:r>
            <w:r w:rsidR="003E6C77">
              <w:rPr>
                <w:sz w:val="20"/>
              </w:rPr>
              <w:t xml:space="preserve"> </w:t>
            </w:r>
            <w:r w:rsidR="00A41408">
              <w:rPr>
                <w:sz w:val="20"/>
              </w:rPr>
              <w:t xml:space="preserve">a video dokumentace </w:t>
            </w:r>
            <w:r w:rsidR="003E6C77">
              <w:rPr>
                <w:sz w:val="20"/>
              </w:rPr>
              <w:t>SPZ/RZ</w:t>
            </w:r>
          </w:p>
          <w:p w14:paraId="41703960" w14:textId="77777777" w:rsidR="00D10A7A" w:rsidRDefault="00EC07D3">
            <w:pPr>
              <w:pStyle w:val="SML11"/>
              <w:numPr>
                <w:ilvl w:val="0"/>
                <w:numId w:val="7"/>
              </w:numPr>
              <w:ind w:left="169" w:hanging="169"/>
              <w:rPr>
                <w:sz w:val="20"/>
              </w:rPr>
            </w:pPr>
            <w:r w:rsidRPr="00E5250F">
              <w:rPr>
                <w:sz w:val="20"/>
              </w:rPr>
              <w:t>I</w:t>
            </w:r>
            <w:r w:rsidR="003E6C77" w:rsidRPr="00E5250F">
              <w:rPr>
                <w:sz w:val="20"/>
              </w:rPr>
              <w:t>nformace týkající se parkování</w:t>
            </w:r>
          </w:p>
          <w:p w14:paraId="6D8119AA" w14:textId="7DBF64F7" w:rsidR="003E2656" w:rsidRDefault="003E2656">
            <w:pPr>
              <w:pStyle w:val="SML11"/>
              <w:numPr>
                <w:ilvl w:val="0"/>
                <w:numId w:val="7"/>
              </w:numPr>
              <w:ind w:left="169" w:hanging="169"/>
              <w:rPr>
                <w:sz w:val="20"/>
              </w:rPr>
            </w:pPr>
            <w:r>
              <w:rPr>
                <w:sz w:val="20"/>
              </w:rPr>
              <w:t xml:space="preserve">Fotodokumentace a video dokumentace polohy vozidel na místní komunikaci </w:t>
            </w:r>
          </w:p>
          <w:p w14:paraId="5798D609" w14:textId="4E290CE0" w:rsidR="00A41408" w:rsidRPr="00E5250F" w:rsidRDefault="00A41408" w:rsidP="00A41408">
            <w:pPr>
              <w:pStyle w:val="SML11"/>
              <w:numPr>
                <w:ilvl w:val="0"/>
                <w:numId w:val="0"/>
              </w:numPr>
              <w:ind w:left="169"/>
              <w:rPr>
                <w:sz w:val="20"/>
              </w:rPr>
            </w:pPr>
          </w:p>
        </w:tc>
        <w:tc>
          <w:tcPr>
            <w:tcW w:w="2990" w:type="dxa"/>
          </w:tcPr>
          <w:p w14:paraId="051D060A" w14:textId="51439F13" w:rsidR="003E6C77" w:rsidRDefault="543EDC20" w:rsidP="00A079E2">
            <w:pPr>
              <w:pStyle w:val="SML11"/>
              <w:numPr>
                <w:ilvl w:val="0"/>
                <w:numId w:val="7"/>
              </w:numPr>
              <w:ind w:left="200" w:hanging="142"/>
              <w:jc w:val="left"/>
              <w:rPr>
                <w:sz w:val="20"/>
                <w:szCs w:val="20"/>
              </w:rPr>
            </w:pPr>
            <w:r w:rsidRPr="3826454C">
              <w:rPr>
                <w:sz w:val="20"/>
                <w:szCs w:val="20"/>
              </w:rPr>
              <w:t>O</w:t>
            </w:r>
            <w:r w:rsidR="003E6C77" w:rsidRPr="3826454C">
              <w:rPr>
                <w:sz w:val="20"/>
                <w:szCs w:val="20"/>
              </w:rPr>
              <w:t xml:space="preserve">soby užívající </w:t>
            </w:r>
            <w:r w:rsidRPr="3826454C">
              <w:rPr>
                <w:sz w:val="20"/>
                <w:szCs w:val="20"/>
              </w:rPr>
              <w:t>místní komunikace ke stání silničního motorového vozidla</w:t>
            </w:r>
          </w:p>
          <w:p w14:paraId="1D57F981" w14:textId="0A6DE7F3" w:rsidR="00D46D05" w:rsidRPr="0050328F" w:rsidRDefault="00D46D05" w:rsidP="004544AB">
            <w:pPr>
              <w:pStyle w:val="SML11"/>
              <w:numPr>
                <w:ilvl w:val="0"/>
                <w:numId w:val="0"/>
              </w:numPr>
              <w:ind w:left="200"/>
              <w:rPr>
                <w:sz w:val="20"/>
              </w:rPr>
            </w:pPr>
          </w:p>
        </w:tc>
      </w:tr>
    </w:tbl>
    <w:p w14:paraId="5CA8EA15" w14:textId="7D09A5DF" w:rsidR="000D16AE" w:rsidRPr="000D16AE" w:rsidRDefault="008A481B" w:rsidP="00FE5AFA">
      <w:pPr>
        <w:pStyle w:val="SML11"/>
        <w:rPr>
          <w:rFonts w:asciiTheme="minorHAnsi" w:hAnsiTheme="minorHAnsi"/>
        </w:rPr>
      </w:pPr>
      <w:bookmarkStart w:id="3" w:name="_Ref507055064"/>
      <w:bookmarkStart w:id="4" w:name="_Ref507151652"/>
      <w:r>
        <w:t xml:space="preserve">Na základě </w:t>
      </w:r>
      <w:r w:rsidR="00B64C41">
        <w:t>této Smlouvy</w:t>
      </w:r>
      <w:r>
        <w:t xml:space="preserve"> bude </w:t>
      </w:r>
      <w:r w:rsidR="003E6C77">
        <w:t>Dodavatel</w:t>
      </w:r>
      <w:r>
        <w:t xml:space="preserve"> zpracovávat Osobní údaje pouze za</w:t>
      </w:r>
      <w:r w:rsidR="00C26CDB">
        <w:t> </w:t>
      </w:r>
      <w:r>
        <w:t>účelem</w:t>
      </w:r>
      <w:bookmarkEnd w:id="3"/>
      <w:bookmarkEnd w:id="4"/>
      <w:r w:rsidR="000D16AE" w:rsidRPr="3826454C">
        <w:rPr>
          <w:rFonts w:asciiTheme="minorHAnsi" w:hAnsiTheme="minorHAnsi"/>
          <w:color w:val="000000" w:themeColor="text1"/>
        </w:rPr>
        <w:t xml:space="preserve"> přípravy a následné realizace Praktické zkoušky, která bude sloužit jako jedno z kritérií k vyhodnocení Zadávacího řízení. V rámci Praktické zkoušky bude docházet k</w:t>
      </w:r>
      <w:r w:rsidR="000E2759">
        <w:rPr>
          <w:rFonts w:asciiTheme="minorHAnsi" w:hAnsiTheme="minorHAnsi"/>
          <w:color w:val="000000" w:themeColor="text1"/>
        </w:rPr>
        <w:t> </w:t>
      </w:r>
      <w:r w:rsidR="00C429C3" w:rsidRPr="3826454C">
        <w:rPr>
          <w:rFonts w:asciiTheme="minorHAnsi" w:hAnsiTheme="minorHAnsi"/>
          <w:color w:val="000000" w:themeColor="text1"/>
        </w:rPr>
        <w:t xml:space="preserve">monitorování </w:t>
      </w:r>
      <w:r w:rsidR="1B4B67EC" w:rsidRPr="3826454C">
        <w:rPr>
          <w:rFonts w:asciiTheme="minorHAnsi" w:hAnsiTheme="minorHAnsi"/>
          <w:color w:val="000000" w:themeColor="text1"/>
        </w:rPr>
        <w:t xml:space="preserve">místních komunikací na území hl. </w:t>
      </w:r>
      <w:r w:rsidR="000E2759">
        <w:rPr>
          <w:rFonts w:asciiTheme="minorHAnsi" w:hAnsiTheme="minorHAnsi"/>
          <w:color w:val="000000" w:themeColor="text1"/>
        </w:rPr>
        <w:t>m</w:t>
      </w:r>
      <w:r w:rsidR="1B4B67EC" w:rsidRPr="3826454C">
        <w:rPr>
          <w:rFonts w:asciiTheme="minorHAnsi" w:hAnsiTheme="minorHAnsi"/>
          <w:color w:val="000000" w:themeColor="text1"/>
        </w:rPr>
        <w:t>. Prahy</w:t>
      </w:r>
      <w:r w:rsidR="7E3CF7A7" w:rsidRPr="3826454C">
        <w:rPr>
          <w:rFonts w:asciiTheme="minorHAnsi" w:hAnsiTheme="minorHAnsi"/>
          <w:color w:val="000000" w:themeColor="text1"/>
        </w:rPr>
        <w:t xml:space="preserve"> </w:t>
      </w:r>
      <w:r w:rsidR="000E2759">
        <w:rPr>
          <w:rFonts w:asciiTheme="minorHAnsi" w:hAnsiTheme="minorHAnsi"/>
          <w:color w:val="000000" w:themeColor="text1"/>
        </w:rPr>
        <w:t xml:space="preserve">- </w:t>
      </w:r>
      <w:r w:rsidR="00C429C3" w:rsidRPr="3826454C">
        <w:rPr>
          <w:rFonts w:asciiTheme="minorHAnsi" w:hAnsiTheme="minorHAnsi"/>
          <w:color w:val="000000" w:themeColor="text1"/>
        </w:rPr>
        <w:t xml:space="preserve">tj. </w:t>
      </w:r>
      <w:r w:rsidR="000D16AE" w:rsidRPr="3826454C">
        <w:rPr>
          <w:rFonts w:asciiTheme="minorHAnsi" w:hAnsiTheme="minorHAnsi"/>
          <w:color w:val="000000" w:themeColor="text1"/>
        </w:rPr>
        <w:t xml:space="preserve">ke </w:t>
      </w:r>
      <w:r w:rsidR="00C429C3" w:rsidRPr="3826454C">
        <w:rPr>
          <w:rFonts w:asciiTheme="minorHAnsi" w:hAnsiTheme="minorHAnsi"/>
          <w:color w:val="000000" w:themeColor="text1"/>
        </w:rPr>
        <w:t>sběr</w:t>
      </w:r>
      <w:r w:rsidR="000D16AE" w:rsidRPr="3826454C">
        <w:rPr>
          <w:rFonts w:asciiTheme="minorHAnsi" w:hAnsiTheme="minorHAnsi"/>
          <w:color w:val="000000" w:themeColor="text1"/>
        </w:rPr>
        <w:t>u</w:t>
      </w:r>
      <w:r w:rsidR="00C429C3" w:rsidRPr="3826454C">
        <w:rPr>
          <w:rFonts w:asciiTheme="minorHAnsi" w:hAnsiTheme="minorHAnsi"/>
          <w:color w:val="000000" w:themeColor="text1"/>
        </w:rPr>
        <w:t xml:space="preserve"> dat </w:t>
      </w:r>
      <w:r w:rsidR="589E7ED3" w:rsidRPr="3826454C">
        <w:rPr>
          <w:rFonts w:asciiTheme="minorHAnsi" w:hAnsiTheme="minorHAnsi"/>
          <w:color w:val="000000" w:themeColor="text1"/>
        </w:rPr>
        <w:t xml:space="preserve">a </w:t>
      </w:r>
      <w:r w:rsidR="00C429C3" w:rsidRPr="3826454C">
        <w:rPr>
          <w:rFonts w:asciiTheme="minorHAnsi" w:hAnsiTheme="minorHAnsi"/>
          <w:color w:val="000000" w:themeColor="text1"/>
        </w:rPr>
        <w:t xml:space="preserve">dokumentaci vozidel parkujících </w:t>
      </w:r>
      <w:r w:rsidR="000D16AE" w:rsidRPr="3826454C">
        <w:rPr>
          <w:rFonts w:asciiTheme="minorHAnsi" w:hAnsiTheme="minorHAnsi"/>
          <w:color w:val="000000" w:themeColor="text1"/>
        </w:rPr>
        <w:t>zejm</w:t>
      </w:r>
      <w:r w:rsidR="000E2759">
        <w:rPr>
          <w:rFonts w:asciiTheme="minorHAnsi" w:hAnsiTheme="minorHAnsi"/>
          <w:color w:val="000000" w:themeColor="text1"/>
        </w:rPr>
        <w:t>éna</w:t>
      </w:r>
      <w:r w:rsidR="61598BAC" w:rsidRPr="3826454C">
        <w:rPr>
          <w:rFonts w:asciiTheme="minorHAnsi" w:hAnsiTheme="minorHAnsi"/>
          <w:color w:val="000000" w:themeColor="text1"/>
        </w:rPr>
        <w:t xml:space="preserve"> na místních komunikacích</w:t>
      </w:r>
      <w:r w:rsidR="000E2759">
        <w:rPr>
          <w:rFonts w:asciiTheme="minorHAnsi" w:hAnsiTheme="minorHAnsi"/>
          <w:color w:val="000000" w:themeColor="text1"/>
        </w:rPr>
        <w:t>, ke</w:t>
      </w:r>
      <w:r w:rsidR="00343FFE">
        <w:rPr>
          <w:rFonts w:asciiTheme="minorHAnsi" w:hAnsiTheme="minorHAnsi"/>
          <w:color w:val="000000" w:themeColor="text1"/>
        </w:rPr>
        <w:t xml:space="preserve"> </w:t>
      </w:r>
      <w:r w:rsidR="00C429C3" w:rsidRPr="3826454C">
        <w:rPr>
          <w:rFonts w:asciiTheme="minorHAnsi" w:hAnsiTheme="minorHAnsi"/>
          <w:color w:val="000000" w:themeColor="text1"/>
        </w:rPr>
        <w:t xml:space="preserve">snímání </w:t>
      </w:r>
      <w:r w:rsidR="00C429C3">
        <w:t>tabulek s přidělenou státní poznávací značkou (dále jen „</w:t>
      </w:r>
      <w:r w:rsidR="00C429C3" w:rsidRPr="3826454C">
        <w:rPr>
          <w:b/>
        </w:rPr>
        <w:t>SPZ/RZ</w:t>
      </w:r>
      <w:r w:rsidR="00C429C3">
        <w:t>“)</w:t>
      </w:r>
      <w:r w:rsidR="00C429C3" w:rsidRPr="3826454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429C3" w:rsidRPr="3826454C">
        <w:rPr>
          <w:rFonts w:asciiTheme="minorHAnsi" w:hAnsiTheme="minorHAnsi"/>
          <w:color w:val="000000" w:themeColor="text1"/>
        </w:rPr>
        <w:t>a</w:t>
      </w:r>
      <w:r w:rsidR="003C5D64" w:rsidRPr="3826454C">
        <w:rPr>
          <w:rFonts w:asciiTheme="minorHAnsi" w:hAnsiTheme="minorHAnsi"/>
          <w:color w:val="000000" w:themeColor="text1"/>
        </w:rPr>
        <w:t> </w:t>
      </w:r>
      <w:r w:rsidR="00C429C3" w:rsidRPr="3826454C">
        <w:rPr>
          <w:rFonts w:asciiTheme="minorHAnsi" w:hAnsiTheme="minorHAnsi"/>
          <w:color w:val="000000" w:themeColor="text1"/>
        </w:rPr>
        <w:t xml:space="preserve">rozpoznání SPZ/RZ vozidel parkujících </w:t>
      </w:r>
      <w:r w:rsidR="0439C688" w:rsidRPr="00343FFE">
        <w:rPr>
          <w:rFonts w:asciiTheme="minorHAnsi" w:hAnsiTheme="minorHAnsi"/>
          <w:bCs w:val="0"/>
          <w:color w:val="000000" w:themeColor="text1"/>
        </w:rPr>
        <w:t>na místních komunikacích</w:t>
      </w:r>
      <w:r w:rsidR="0439C688" w:rsidRPr="3826454C">
        <w:rPr>
          <w:rFonts w:asciiTheme="minorHAnsi" w:hAnsiTheme="minorHAnsi"/>
          <w:color w:val="000000" w:themeColor="text1"/>
        </w:rPr>
        <w:t>.</w:t>
      </w:r>
    </w:p>
    <w:p w14:paraId="56952498" w14:textId="5A702587" w:rsidR="008A481B" w:rsidRPr="001C7DFC" w:rsidRDefault="008A481B" w:rsidP="00FE5AFA">
      <w:pPr>
        <w:pStyle w:val="SML11"/>
        <w:numPr>
          <w:ilvl w:val="0"/>
          <w:numId w:val="0"/>
        </w:numPr>
        <w:ind w:left="709"/>
      </w:pPr>
      <w:r>
        <w:t>P</w:t>
      </w:r>
      <w:r w:rsidRPr="001C7DFC">
        <w:t xml:space="preserve">ro vyloučení pochybností se </w:t>
      </w:r>
      <w:r w:rsidR="003E6C77">
        <w:t>Dodavatel</w:t>
      </w:r>
      <w:r w:rsidRPr="001C7DFC">
        <w:t xml:space="preserve"> zavazuje </w:t>
      </w:r>
      <w:r>
        <w:t xml:space="preserve">pro </w:t>
      </w:r>
      <w:r w:rsidR="000C2A53">
        <w:t>Zadavatel</w:t>
      </w:r>
      <w:r w:rsidR="00C26CDB">
        <w:t>e</w:t>
      </w:r>
      <w:r>
        <w:t xml:space="preserve"> </w:t>
      </w:r>
      <w:r w:rsidRPr="001C7DFC">
        <w:t>nezpracovávat jakékoliv osobní údaje pro jiný účel, než který je stanovený v tomto odst.</w:t>
      </w:r>
      <w:r>
        <w:t xml:space="preserve"> </w:t>
      </w:r>
      <w:r>
        <w:fldChar w:fldCharType="begin"/>
      </w:r>
      <w:r>
        <w:instrText xml:space="preserve"> REF _Ref507055064 \r \h </w:instrText>
      </w:r>
      <w:r>
        <w:fldChar w:fldCharType="separate"/>
      </w:r>
      <w:r w:rsidR="00B108F3">
        <w:t>3.2</w:t>
      </w:r>
      <w:r>
        <w:fldChar w:fldCharType="end"/>
      </w:r>
      <w:r>
        <w:t>.</w:t>
      </w:r>
      <w:r w:rsidRPr="001C7DFC">
        <w:t xml:space="preserve"> </w:t>
      </w:r>
      <w:r w:rsidR="009C1E76">
        <w:t>Smlouvy</w:t>
      </w:r>
      <w:r>
        <w:t>.</w:t>
      </w:r>
    </w:p>
    <w:p w14:paraId="32A9B429" w14:textId="34780775" w:rsidR="008A481B" w:rsidRPr="00A41408" w:rsidRDefault="008A481B" w:rsidP="008A481B">
      <w:pPr>
        <w:pStyle w:val="SML11"/>
        <w:keepNext/>
      </w:pPr>
      <w:bookmarkStart w:id="5" w:name="_Ref491074845"/>
      <w:r w:rsidRPr="00A41408">
        <w:t xml:space="preserve">Zpracování Osobních údajů </w:t>
      </w:r>
      <w:r w:rsidR="0098735D" w:rsidRPr="00A41408">
        <w:t>Dodavatelem</w:t>
      </w:r>
      <w:r w:rsidRPr="00A41408">
        <w:t xml:space="preserve"> bude mít následující povahu:</w:t>
      </w:r>
    </w:p>
    <w:p w14:paraId="337153AD" w14:textId="7ED6DCD6" w:rsidR="008A481B" w:rsidRPr="00A41408" w:rsidRDefault="008A481B" w:rsidP="008A481B">
      <w:pPr>
        <w:pStyle w:val="SML111"/>
        <w:ind w:left="1418" w:hanging="698"/>
      </w:pPr>
      <w:r w:rsidRPr="00A41408">
        <w:t>shromažďování</w:t>
      </w:r>
      <w:r w:rsidR="00AB5244" w:rsidRPr="00A41408">
        <w:t>,</w:t>
      </w:r>
    </w:p>
    <w:p w14:paraId="1DA3D1F7" w14:textId="13E2F0FC" w:rsidR="008A481B" w:rsidRPr="00A41408" w:rsidRDefault="008A481B" w:rsidP="008A481B">
      <w:pPr>
        <w:pStyle w:val="SML111"/>
        <w:ind w:left="1418" w:hanging="698"/>
      </w:pPr>
      <w:r w:rsidRPr="00A41408">
        <w:t>ukládání na nosiče informací</w:t>
      </w:r>
      <w:r w:rsidR="00AB5244" w:rsidRPr="00A41408">
        <w:t>,</w:t>
      </w:r>
    </w:p>
    <w:p w14:paraId="30BABA76" w14:textId="0443B51D" w:rsidR="008A481B" w:rsidRPr="00A41408" w:rsidRDefault="008A481B" w:rsidP="008A481B">
      <w:pPr>
        <w:pStyle w:val="SML111"/>
        <w:ind w:left="1418" w:hanging="698"/>
      </w:pPr>
      <w:r w:rsidRPr="00A41408">
        <w:lastRenderedPageBreak/>
        <w:t>třídění</w:t>
      </w:r>
      <w:r w:rsidR="00AB5244" w:rsidRPr="00A41408">
        <w:t>,</w:t>
      </w:r>
    </w:p>
    <w:p w14:paraId="06901085" w14:textId="1BB39710" w:rsidR="008A481B" w:rsidRPr="00A41408" w:rsidRDefault="00A41408" w:rsidP="008A481B">
      <w:pPr>
        <w:pStyle w:val="SML111"/>
        <w:ind w:left="1418" w:hanging="698"/>
      </w:pPr>
      <w:r>
        <w:t>předávání a uchovávání,</w:t>
      </w:r>
    </w:p>
    <w:p w14:paraId="4153E4DB" w14:textId="62B32F46" w:rsidR="008A481B" w:rsidRDefault="008A481B" w:rsidP="008A481B">
      <w:pPr>
        <w:pStyle w:val="SML111"/>
        <w:numPr>
          <w:ilvl w:val="0"/>
          <w:numId w:val="0"/>
        </w:numPr>
        <w:ind w:left="720"/>
      </w:pPr>
      <w:r>
        <w:t xml:space="preserve">a to </w:t>
      </w:r>
      <w:r w:rsidRPr="008628F7">
        <w:t xml:space="preserve">automatizovaně a případně i manuálně tak, aby tato činnost odpovídala účelu zpracování </w:t>
      </w:r>
      <w:r>
        <w:t xml:space="preserve">Osobních údajů </w:t>
      </w:r>
      <w:r w:rsidRPr="008628F7">
        <w:t>podle</w:t>
      </w:r>
      <w:r>
        <w:t xml:space="preserve"> odst. </w:t>
      </w:r>
      <w:r>
        <w:fldChar w:fldCharType="begin"/>
      </w:r>
      <w:r>
        <w:instrText xml:space="preserve"> REF _Ref507055064 \r \h </w:instrText>
      </w:r>
      <w:r>
        <w:fldChar w:fldCharType="separate"/>
      </w:r>
      <w:r w:rsidR="00B108F3">
        <w:t>3.2</w:t>
      </w:r>
      <w:r>
        <w:fldChar w:fldCharType="end"/>
      </w:r>
      <w:r>
        <w:t>.</w:t>
      </w:r>
      <w:r w:rsidRPr="008628F7">
        <w:t xml:space="preserve"> </w:t>
      </w:r>
      <w:r w:rsidR="009C1E76">
        <w:t>této Smlouvy</w:t>
      </w:r>
      <w:r w:rsidRPr="008628F7">
        <w:t>.</w:t>
      </w:r>
      <w:bookmarkEnd w:id="5"/>
    </w:p>
    <w:p w14:paraId="4A7F8D8F" w14:textId="1B5C9279" w:rsidR="008A481B" w:rsidRDefault="00744B92" w:rsidP="008A481B">
      <w:pPr>
        <w:pStyle w:val="SML11"/>
      </w:pPr>
      <w:bookmarkStart w:id="6" w:name="_Ref491075033"/>
      <w:r>
        <w:t xml:space="preserve">Dodavatel se zavazuje zpracovávat Osobní údaje po dobu nezbytně nutnou pro plnění účelů dle této Smlouvy, nejdéle však po dobu </w:t>
      </w:r>
      <w:r w:rsidR="00A41408">
        <w:t xml:space="preserve">co bude probíhat </w:t>
      </w:r>
      <w:r w:rsidR="007360F5">
        <w:t xml:space="preserve">Zadávací </w:t>
      </w:r>
      <w:r w:rsidR="00A41408">
        <w:t>řízení</w:t>
      </w:r>
      <w:r w:rsidR="00B42AB6">
        <w:t>, a to až do jeho úplného skončení, tj. buď do jeho zrušení, nebo do doby konečného výběru dodavatele.</w:t>
      </w:r>
      <w:r w:rsidR="00A41408">
        <w:t xml:space="preserve"> </w:t>
      </w:r>
      <w:bookmarkEnd w:id="6"/>
    </w:p>
    <w:p w14:paraId="5971B713" w14:textId="2BE7D8A1" w:rsidR="00437785" w:rsidRPr="00C1764A" w:rsidRDefault="00437785" w:rsidP="00437785">
      <w:pPr>
        <w:pStyle w:val="SML11"/>
      </w:pPr>
      <w:bookmarkStart w:id="7" w:name="_Ref491075117"/>
      <w:r>
        <w:t xml:space="preserve">Dodavatel se dále zavazuje </w:t>
      </w:r>
      <w:r w:rsidRPr="00C1764A">
        <w:t>Osobní údaje zpracovávat pouze</w:t>
      </w:r>
      <w:r w:rsidR="000E2759">
        <w:t xml:space="preserve"> v monitorovacím vozidle a</w:t>
      </w:r>
      <w:r w:rsidRPr="00C1764A">
        <w:t xml:space="preserve"> na pracovištích </w:t>
      </w:r>
      <w:r>
        <w:t>Dodavatele</w:t>
      </w:r>
      <w:r w:rsidRPr="00C1764A">
        <w:t xml:space="preserve">, a to na území Evropské unie. </w:t>
      </w:r>
    </w:p>
    <w:p w14:paraId="11818450" w14:textId="1E7E02E6" w:rsidR="00437785" w:rsidRDefault="003E6C77" w:rsidP="00437785">
      <w:pPr>
        <w:pStyle w:val="SML11"/>
      </w:pPr>
      <w:bookmarkStart w:id="8" w:name="_Ref2759875"/>
      <w:r>
        <w:t>Dodavatel</w:t>
      </w:r>
      <w:r w:rsidR="008A481B" w:rsidRPr="00486368">
        <w:t xml:space="preserve"> se zavazuje zpracovávat Osobní údaje dle </w:t>
      </w:r>
      <w:r w:rsidR="009C1E76">
        <w:t>této Smlouvy</w:t>
      </w:r>
      <w:r w:rsidR="008A481B" w:rsidRPr="00486368">
        <w:t xml:space="preserve"> pouze na</w:t>
      </w:r>
      <w:r w:rsidR="00D52FDC">
        <w:t> </w:t>
      </w:r>
      <w:r w:rsidR="008A481B" w:rsidRPr="00486368">
        <w:t>základě</w:t>
      </w:r>
      <w:r w:rsidR="008A481B" w:rsidRPr="00973AF3">
        <w:t xml:space="preserve"> pokynu dle </w:t>
      </w:r>
      <w:r w:rsidR="001F34D7">
        <w:t>přílohy této Smlouvy</w:t>
      </w:r>
      <w:r w:rsidR="00A41408">
        <w:t xml:space="preserve"> </w:t>
      </w:r>
      <w:r w:rsidR="00437785">
        <w:t xml:space="preserve">nebo v souladu </w:t>
      </w:r>
      <w:bookmarkEnd w:id="7"/>
      <w:r w:rsidR="00437785">
        <w:t xml:space="preserve">s dalšími doloženými pokyny </w:t>
      </w:r>
      <w:r w:rsidR="000C2A53">
        <w:t>Zadavatel</w:t>
      </w:r>
      <w:r w:rsidR="00437785">
        <w:t xml:space="preserve">e, které může </w:t>
      </w:r>
      <w:r w:rsidR="000C2A53">
        <w:t>Zadavatel</w:t>
      </w:r>
      <w:r w:rsidR="00437785">
        <w:t xml:space="preserve"> Dodavateli udělit</w:t>
      </w:r>
      <w:r w:rsidR="00A41408">
        <w:t xml:space="preserve"> na kontaktní e-mail uvedený v záhlaví této smlouvy. </w:t>
      </w:r>
      <w:r w:rsidR="00437785">
        <w:t xml:space="preserve"> </w:t>
      </w:r>
      <w:bookmarkEnd w:id="8"/>
    </w:p>
    <w:p w14:paraId="532C5BB6" w14:textId="77777777" w:rsidR="008A481B" w:rsidRDefault="008A481B" w:rsidP="008A481B">
      <w:pPr>
        <w:pStyle w:val="SML1"/>
      </w:pPr>
      <w:bookmarkStart w:id="9" w:name="_Ref506899662"/>
      <w:r w:rsidRPr="00DD76C3">
        <w:t>Mlčenlivost</w:t>
      </w:r>
      <w:bookmarkEnd w:id="9"/>
    </w:p>
    <w:p w14:paraId="65C2E00C" w14:textId="24256D6F" w:rsidR="009C1E76" w:rsidRDefault="009C1E76" w:rsidP="009C1E76">
      <w:pPr>
        <w:pStyle w:val="SML11"/>
      </w:pPr>
      <w:bookmarkStart w:id="10" w:name="_Ref507151718"/>
      <w:r>
        <w:t>Dodavatel se touto Smlouvou zavazuje zachovávat mlčenlivost o v</w:t>
      </w:r>
      <w:r w:rsidRPr="00C45987">
        <w:t>ešker</w:t>
      </w:r>
      <w:r>
        <w:t>ých</w:t>
      </w:r>
      <w:r w:rsidRPr="00C45987">
        <w:t xml:space="preserve"> </w:t>
      </w:r>
      <w:r w:rsidR="00E952AA">
        <w:t xml:space="preserve">Důvěrných informacích, přičemž s Důvěrnými informacemi je oprávněn nakládat pouze pro účely Zadávacího řízení, a zejména pro přípravu a následnou realizaci Praktické zkoušky. </w:t>
      </w:r>
      <w:r w:rsidR="00DB351B">
        <w:t xml:space="preserve">Je ujednáno že </w:t>
      </w:r>
      <w:r w:rsidR="004D38D4">
        <w:t xml:space="preserve">ustanovení </w:t>
      </w:r>
      <w:r w:rsidR="00DB351B">
        <w:t xml:space="preserve">čl. 5. a čl. 7 </w:t>
      </w:r>
      <w:r w:rsidR="004D38D4">
        <w:t xml:space="preserve">této Smlouvy </w:t>
      </w:r>
      <w:r w:rsidR="00DB351B">
        <w:t xml:space="preserve">se užijí </w:t>
      </w:r>
      <w:r w:rsidR="004D38D4">
        <w:t>pro</w:t>
      </w:r>
      <w:r w:rsidR="00DB351B">
        <w:t xml:space="preserve"> nakládání s</w:t>
      </w:r>
      <w:r w:rsidR="004D38D4">
        <w:t> Důvěrnými informacemi Dodavatelem obdobně.</w:t>
      </w:r>
    </w:p>
    <w:p w14:paraId="66EDE49E" w14:textId="4E6A5DC0" w:rsidR="009C1E76" w:rsidRDefault="009C1E76" w:rsidP="009C1E76">
      <w:pPr>
        <w:pStyle w:val="SML11"/>
      </w:pPr>
      <w:bookmarkStart w:id="11" w:name="_Ref507151783"/>
      <w:r>
        <w:t xml:space="preserve">Dodavatel se zavazuje ve vztahu k Důvěrným informacím zavázat mlčenlivostí všechny své zaměstnance, popřípadě třetí osoby, které </w:t>
      </w:r>
      <w:r w:rsidR="00E952AA">
        <w:t xml:space="preserve">budou nakládat s Důvěrnými informacemi (vč. </w:t>
      </w:r>
      <w:r>
        <w:t>zpracová</w:t>
      </w:r>
      <w:r w:rsidR="00E952AA">
        <w:t xml:space="preserve">ní </w:t>
      </w:r>
      <w:r>
        <w:t>Osobní</w:t>
      </w:r>
      <w:r w:rsidR="00E952AA">
        <w:t>ch</w:t>
      </w:r>
      <w:r>
        <w:t xml:space="preserve"> údaj</w:t>
      </w:r>
      <w:r w:rsidR="00E952AA">
        <w:t>ů)</w:t>
      </w:r>
      <w:r w:rsidR="002675C4">
        <w:t>, v</w:t>
      </w:r>
      <w:r>
        <w:t>e stejném rozsahu, jako je zavázán on sám, a to i po skončení pracovněprávního nebo smluvního vztahu mezi příslušnou osobou a Dodavatelem. Dodavatel odpovídá za porušení povinnosti mlčenlivosti těchto osob, jako by se porušení této povinnosti dopustil on sám.</w:t>
      </w:r>
      <w:bookmarkEnd w:id="11"/>
    </w:p>
    <w:p w14:paraId="60193666" w14:textId="77777777" w:rsidR="00E748A5" w:rsidRPr="0098455A" w:rsidRDefault="00E748A5" w:rsidP="00E748A5">
      <w:pPr>
        <w:pStyle w:val="SML1"/>
      </w:pPr>
      <w:bookmarkStart w:id="12" w:name="_Ref2760143"/>
      <w:bookmarkEnd w:id="10"/>
      <w:r>
        <w:t>Zabezpečení Osobních údajů</w:t>
      </w:r>
      <w:bookmarkEnd w:id="12"/>
    </w:p>
    <w:p w14:paraId="4248C53D" w14:textId="40403998" w:rsidR="0080497F" w:rsidRDefault="003E6C77" w:rsidP="0080497F">
      <w:pPr>
        <w:pStyle w:val="SML11"/>
      </w:pPr>
      <w:bookmarkStart w:id="13" w:name="_Ref507084657"/>
      <w:r>
        <w:t>Dodavatel</w:t>
      </w:r>
      <w:r w:rsidR="0080497F" w:rsidRPr="00EB1CFE">
        <w:t xml:space="preserve"> se zavazuje přijmout takov</w:t>
      </w:r>
      <w:r w:rsidR="0080497F">
        <w:t>á opatření, aby nemohlo dojít k </w:t>
      </w:r>
      <w:r w:rsidR="0080497F" w:rsidRPr="00EB1CFE">
        <w:t xml:space="preserve">neoprávněnému nebo nahodilému přístupu k Osobním údajům, k jejich změně, zničení či ztrátě, neoprávněným přenosům, k jejich jinému neoprávněnému zpracování, jakož </w:t>
      </w:r>
      <w:r w:rsidR="0080497F">
        <w:t>an</w:t>
      </w:r>
      <w:r w:rsidR="0080497F" w:rsidRPr="00EB1CFE">
        <w:t>i k</w:t>
      </w:r>
      <w:r w:rsidR="009C60DE">
        <w:t> </w:t>
      </w:r>
      <w:r w:rsidR="0080497F">
        <w:t>jinému zneužití Osobních údajů.</w:t>
      </w:r>
    </w:p>
    <w:p w14:paraId="7CC39B5C" w14:textId="4C9420DB" w:rsidR="0080497F" w:rsidRPr="007A267B" w:rsidRDefault="003E6C77" w:rsidP="0080497F">
      <w:pPr>
        <w:pStyle w:val="SML11"/>
        <w:keepNext/>
      </w:pPr>
      <w:bookmarkStart w:id="14" w:name="_Ref507151821"/>
      <w:r w:rsidRPr="007A267B">
        <w:t>Dodavatel</w:t>
      </w:r>
      <w:r w:rsidR="0080497F" w:rsidRPr="007A267B">
        <w:t xml:space="preserve"> se zavazuje učinit zejména následující ochranná opatření:</w:t>
      </w:r>
      <w:bookmarkEnd w:id="14"/>
    </w:p>
    <w:p w14:paraId="772C0F54" w14:textId="30A64EF5" w:rsidR="0080497F" w:rsidRPr="007A267B" w:rsidRDefault="00870322" w:rsidP="0080497F">
      <w:pPr>
        <w:pStyle w:val="SML111"/>
        <w:ind w:left="1418" w:hanging="698"/>
      </w:pPr>
      <w:r w:rsidRPr="007A267B">
        <w:t>c</w:t>
      </w:r>
      <w:r w:rsidR="0080497F" w:rsidRPr="007A267B">
        <w:t>hránit média obsahující Osobní údaje před neoprávněným přístupem uzamčením ve skřínkách nebo archivech a elektronickým zabezpečením prostor, ve kterých jsou Osobní údaje uloženy;</w:t>
      </w:r>
    </w:p>
    <w:p w14:paraId="705513E8" w14:textId="77777777" w:rsidR="0080497F" w:rsidRPr="007A267B" w:rsidRDefault="0080497F" w:rsidP="0080497F">
      <w:pPr>
        <w:pStyle w:val="SML111"/>
        <w:ind w:left="1418" w:hanging="698"/>
      </w:pPr>
      <w:r w:rsidRPr="007A267B">
        <w:t>Osobní údaje uchovávané v elektronické podobě chránit před neoprávněným přístupem pomocí vytvoření přístupových práv a kontroly přístupu do sítě včetně technologie firewallů, jak hardwarových, tak i softwarových komponent, technologie detekce síťových průniků, pseudonymizace a šifrovací technologie, vybrané podle jejich vhodnosti;</w:t>
      </w:r>
    </w:p>
    <w:p w14:paraId="0AE99801" w14:textId="772FC858" w:rsidR="0080497F" w:rsidRPr="007A267B" w:rsidRDefault="00870322" w:rsidP="0080497F">
      <w:pPr>
        <w:pStyle w:val="SML111"/>
        <w:ind w:left="1418" w:hanging="698"/>
      </w:pPr>
      <w:r w:rsidRPr="007A267B">
        <w:lastRenderedPageBreak/>
        <w:t>z</w:t>
      </w:r>
      <w:r w:rsidR="0080497F" w:rsidRPr="007A267B">
        <w:t xml:space="preserve">ajistit ochranu, udržování a monitorování zabezpečení a integrity sítě </w:t>
      </w:r>
      <w:r w:rsidR="0098735D" w:rsidRPr="007A267B">
        <w:t>Dodavatele</w:t>
      </w:r>
      <w:r w:rsidR="0080497F" w:rsidRPr="007A267B">
        <w:t>;</w:t>
      </w:r>
    </w:p>
    <w:p w14:paraId="3E79276B" w14:textId="7F25D2C6" w:rsidR="0080497F" w:rsidRPr="007A267B" w:rsidRDefault="00870322" w:rsidP="0080497F">
      <w:pPr>
        <w:pStyle w:val="SML111"/>
        <w:ind w:left="1418" w:hanging="698"/>
      </w:pPr>
      <w:r w:rsidRPr="007A267B">
        <w:t>p</w:t>
      </w:r>
      <w:r w:rsidR="0080497F" w:rsidRPr="007A267B">
        <w:t xml:space="preserve">ravidelné zálohování dat včetně zajištění potřebného software a hardware pro provádění bezpečnostních záloh; </w:t>
      </w:r>
    </w:p>
    <w:p w14:paraId="48EA1188" w14:textId="6913EB0A" w:rsidR="0080497F" w:rsidRPr="007A267B" w:rsidRDefault="00870322" w:rsidP="0080497F">
      <w:pPr>
        <w:pStyle w:val="SML111"/>
        <w:ind w:left="1418" w:hanging="698"/>
      </w:pPr>
      <w:r w:rsidRPr="007A267B">
        <w:t>p</w:t>
      </w:r>
      <w:r w:rsidR="0080497F" w:rsidRPr="007A267B">
        <w:t xml:space="preserve">ořizovat elektronické záznamy, které umožní určit a ověřit, kdy, kým a z jakého důvodu byly Osobní údaje zobrazeny, zaznamenány nebo jinak zpracovány; </w:t>
      </w:r>
    </w:p>
    <w:p w14:paraId="2289C733" w14:textId="3C2CDB3D" w:rsidR="0080497F" w:rsidRPr="007A267B" w:rsidRDefault="00870322" w:rsidP="0080497F">
      <w:pPr>
        <w:pStyle w:val="SML111"/>
        <w:ind w:left="1418" w:hanging="698"/>
      </w:pPr>
      <w:r w:rsidRPr="007A267B">
        <w:t>p</w:t>
      </w:r>
      <w:r w:rsidR="0080497F" w:rsidRPr="007A267B">
        <w:t>řijmout případně další technická opatření, která jsou obecně uznávána jako vhodná bezpečnostní opatření pro užívaný způsob zpracování Osobních údajů.</w:t>
      </w:r>
    </w:p>
    <w:p w14:paraId="1AABAA80" w14:textId="5CAE5EC0" w:rsidR="001B5AD6" w:rsidRPr="00E4241B" w:rsidRDefault="001B5AD6" w:rsidP="001B5AD6">
      <w:pPr>
        <w:pStyle w:val="SML1"/>
      </w:pPr>
      <w:r w:rsidRPr="00E4241B">
        <w:t>Součinnost</w:t>
      </w:r>
      <w:r>
        <w:t xml:space="preserve"> </w:t>
      </w:r>
      <w:bookmarkEnd w:id="13"/>
      <w:r w:rsidR="00B42AB6">
        <w:t>Dodavatele</w:t>
      </w:r>
    </w:p>
    <w:p w14:paraId="46B8A21A" w14:textId="390CA4D1" w:rsidR="001B5AD6" w:rsidRDefault="003E6C77" w:rsidP="001B5AD6">
      <w:pPr>
        <w:pStyle w:val="SML11"/>
        <w:keepNext/>
      </w:pPr>
      <w:bookmarkStart w:id="15" w:name="_Ref491089921"/>
      <w:r>
        <w:t>Dodavatel</w:t>
      </w:r>
      <w:r w:rsidR="001B5AD6">
        <w:t xml:space="preserve"> se zavazuje poskytovat </w:t>
      </w:r>
      <w:r w:rsidR="000C2A53">
        <w:t>Zadavatel</w:t>
      </w:r>
      <w:r w:rsidR="006D75AF">
        <w:t>i</w:t>
      </w:r>
      <w:r w:rsidR="001B5AD6">
        <w:t xml:space="preserve"> součinnost v rozsahu nezbytném k zajištění souladu zpracování Osobních údajů dle </w:t>
      </w:r>
      <w:r w:rsidR="00A04827">
        <w:t>této Smlouvy</w:t>
      </w:r>
      <w:r w:rsidR="001B5AD6">
        <w:t xml:space="preserve"> s právním řádem. V rámci této součinnosti se zavazuje </w:t>
      </w:r>
      <w:r>
        <w:t>Dodavatel</w:t>
      </w:r>
      <w:r w:rsidR="001B5AD6">
        <w:t xml:space="preserve"> zejména (nikoliv však pouze):</w:t>
      </w:r>
      <w:bookmarkEnd w:id="15"/>
    </w:p>
    <w:p w14:paraId="228286E6" w14:textId="7B0CEDD6" w:rsidR="001B5AD6" w:rsidRPr="00B43865" w:rsidRDefault="00A04827" w:rsidP="001B5AD6">
      <w:pPr>
        <w:pStyle w:val="SML111"/>
        <w:ind w:left="1418" w:hanging="698"/>
      </w:pPr>
      <w:bookmarkStart w:id="16" w:name="_Ref507151968"/>
      <w:r>
        <w:t xml:space="preserve">bez zbytečného odkladu, nejpozději do 24 hodin, hlásit </w:t>
      </w:r>
      <w:r w:rsidR="000C2A53">
        <w:t>Zadavatel</w:t>
      </w:r>
      <w:r>
        <w:t xml:space="preserve">i každé porušení zabezpečení Osobních údajů nebo jiný bezpečnostní incident, který by se mohl dotknout zpracování Osobních údajů dle této Smlouvy nebo práv a právem chráněných </w:t>
      </w:r>
      <w:r w:rsidRPr="00B43865">
        <w:t>zájmů subjektů Osobních údajů</w:t>
      </w:r>
      <w:r w:rsidR="001B5AD6" w:rsidRPr="00B43865">
        <w:t>;</w:t>
      </w:r>
      <w:bookmarkEnd w:id="16"/>
    </w:p>
    <w:p w14:paraId="047DEA6B" w14:textId="27380C06" w:rsidR="001B5AD6" w:rsidRPr="00B43865" w:rsidRDefault="001B5AD6" w:rsidP="001B5AD6">
      <w:pPr>
        <w:pStyle w:val="SML111"/>
        <w:ind w:left="1418" w:hanging="698"/>
      </w:pPr>
      <w:r w:rsidRPr="00B43865">
        <w:t xml:space="preserve">bez zbytečného odkladu poskytnout </w:t>
      </w:r>
      <w:r w:rsidR="000C2A53">
        <w:t>Zadavatel</w:t>
      </w:r>
      <w:r w:rsidR="00017479" w:rsidRPr="00B43865">
        <w:t>i</w:t>
      </w:r>
      <w:r w:rsidRPr="00B43865">
        <w:t xml:space="preserve"> veškeré podklady a informace nezbytné k doložení toho, že zpracování Osobních údajů dle </w:t>
      </w:r>
      <w:r w:rsidR="00A04827">
        <w:t>této</w:t>
      </w:r>
      <w:r w:rsidR="00D95173">
        <w:t> </w:t>
      </w:r>
      <w:r w:rsidRPr="00B43865">
        <w:t xml:space="preserve">Smlouvy probíhá v souladu s právním řádem; </w:t>
      </w:r>
    </w:p>
    <w:p w14:paraId="6D96BB92" w14:textId="2875DDDE" w:rsidR="001B5AD6" w:rsidRDefault="001B5AD6" w:rsidP="001B5AD6">
      <w:pPr>
        <w:pStyle w:val="SML111"/>
        <w:ind w:left="1418" w:hanging="698"/>
      </w:pPr>
      <w:r>
        <w:t>v souladu s právní</w:t>
      </w:r>
      <w:r w:rsidR="00B42AB6">
        <w:t>m</w:t>
      </w:r>
      <w:r>
        <w:t xml:space="preserve"> řádem bez zbytečného odkladu vyhovět řádně a včas žádosti subjektu údajů, který uplatnil své právo, jež mu právní řád přiznává (právo na přístup, opravu, výmaz apod.), u </w:t>
      </w:r>
      <w:r w:rsidR="000C2A53">
        <w:t>Zadavatel</w:t>
      </w:r>
      <w:r w:rsidR="00017479">
        <w:t xml:space="preserve">e nebo </w:t>
      </w:r>
      <w:r w:rsidR="00FB146B">
        <w:t>Dodavatele</w:t>
      </w:r>
      <w:r w:rsidR="00017479">
        <w:t>.</w:t>
      </w:r>
    </w:p>
    <w:p w14:paraId="7D54B5E0" w14:textId="2EB0B505" w:rsidR="00A04827" w:rsidRDefault="00A04827" w:rsidP="00A04827">
      <w:pPr>
        <w:pStyle w:val="SML11"/>
      </w:pPr>
      <w:r>
        <w:t xml:space="preserve">Ohlášení porušení nebo bezpečnostního incidentu dle odst. </w:t>
      </w:r>
      <w:r>
        <w:fldChar w:fldCharType="begin"/>
      </w:r>
      <w:r>
        <w:instrText xml:space="preserve"> REF _Ref507151968 \r \h </w:instrText>
      </w:r>
      <w:r>
        <w:fldChar w:fldCharType="separate"/>
      </w:r>
      <w:r w:rsidR="00B108F3">
        <w:t>6.1.2</w:t>
      </w:r>
      <w:r>
        <w:fldChar w:fldCharType="end"/>
      </w:r>
      <w:r>
        <w:t>. Smlouvy musí obsahovat zejména:</w:t>
      </w:r>
    </w:p>
    <w:p w14:paraId="35D243AB" w14:textId="77777777" w:rsidR="00A04827" w:rsidRDefault="00A04827" w:rsidP="00A04827">
      <w:pPr>
        <w:pStyle w:val="SML111"/>
        <w:ind w:left="1418" w:hanging="698"/>
      </w:pPr>
      <w:r w:rsidRPr="008E0BA6"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5E7AC32C" w14:textId="77777777" w:rsidR="00A04827" w:rsidRPr="008E0BA6" w:rsidRDefault="00A04827" w:rsidP="00A04827">
      <w:pPr>
        <w:pStyle w:val="SML111"/>
        <w:ind w:left="1224"/>
      </w:pPr>
      <w:r w:rsidRPr="008E0BA6">
        <w:t>popis pravděpodobných důsledků porušení zabezpečení osobních údajů;</w:t>
      </w:r>
    </w:p>
    <w:p w14:paraId="07A2CD99" w14:textId="60609FFA" w:rsidR="009645AE" w:rsidRDefault="00A04827" w:rsidP="00886ED8">
      <w:pPr>
        <w:pStyle w:val="SML111"/>
        <w:ind w:left="1418" w:hanging="698"/>
      </w:pPr>
      <w:r w:rsidRPr="008E0BA6">
        <w:t xml:space="preserve">popis opatření, které </w:t>
      </w:r>
      <w:r>
        <w:t xml:space="preserve">Dodavatel </w:t>
      </w:r>
      <w:r w:rsidRPr="008E0BA6">
        <w:t xml:space="preserve">přijal nebo navrhl k přijetí s cílem vyřešit dané porušení zabezpečení osobních údajů, včetně případných opatření ke zmírnění možných nepříznivých dopadů. </w:t>
      </w:r>
      <w:bookmarkStart w:id="17" w:name="_Ref506897446"/>
    </w:p>
    <w:p w14:paraId="37137965" w14:textId="3BE73526" w:rsidR="00FB146B" w:rsidRDefault="00FB146B" w:rsidP="002B1FE2">
      <w:pPr>
        <w:pStyle w:val="SML1"/>
        <w:keepLines w:val="0"/>
      </w:pPr>
      <w:bookmarkStart w:id="18" w:name="_Ref517338778"/>
      <w:bookmarkEnd w:id="17"/>
      <w:r>
        <w:t>Zapojení subdodavatelů</w:t>
      </w:r>
      <w:bookmarkEnd w:id="18"/>
    </w:p>
    <w:p w14:paraId="2D05F006" w14:textId="0814916E" w:rsidR="00112C71" w:rsidRPr="00886ED8" w:rsidRDefault="00FB146B" w:rsidP="002B1FE2">
      <w:pPr>
        <w:pStyle w:val="SML11"/>
        <w:rPr>
          <w:bCs w:val="0"/>
        </w:rPr>
      </w:pPr>
      <w:bookmarkStart w:id="19" w:name="_Ref507151877"/>
      <w:r>
        <w:t xml:space="preserve">Dodavatel se zavazuje ke zpracování Osobních údajů dle </w:t>
      </w:r>
      <w:r w:rsidR="00A04827">
        <w:t>této</w:t>
      </w:r>
      <w:r>
        <w:t xml:space="preserve"> Smlouvy nevyužívat žádného jiného zpracovatele bez předchozího písemného souhlasu </w:t>
      </w:r>
      <w:r w:rsidR="000C2A53">
        <w:t>Zadavatel</w:t>
      </w:r>
      <w:r>
        <w:t>e</w:t>
      </w:r>
      <w:bookmarkStart w:id="20" w:name="_Hlk491695325"/>
      <w:bookmarkEnd w:id="19"/>
      <w:r w:rsidR="002675C4">
        <w:t>.</w:t>
      </w:r>
      <w:r w:rsidR="00FE5AFA">
        <w:t xml:space="preserve"> V případě udělení souhlasu ze strany Zadavatele se Dodavatel zavazuje zajistit, že se další zpracovatel zaváže zpracovávat Osobní údaje přinejmenším za podmínek vyplývajících z této Smlouvy; Dodavatel přitom bude odpovědný za zpracování osobních údajů dalším zpracovatelem stejně, jako by Osobní údaje zpracovával sám.</w:t>
      </w:r>
    </w:p>
    <w:bookmarkEnd w:id="20"/>
    <w:p w14:paraId="0BB62E11" w14:textId="6222FC52" w:rsidR="003547C5" w:rsidRPr="007074B7" w:rsidRDefault="003547C5" w:rsidP="003547C5">
      <w:pPr>
        <w:pStyle w:val="SML1"/>
      </w:pPr>
      <w:r>
        <w:lastRenderedPageBreak/>
        <w:t xml:space="preserve">Ostatní povinnosti </w:t>
      </w:r>
      <w:r w:rsidR="00FB146B">
        <w:t>Dodavatele</w:t>
      </w:r>
    </w:p>
    <w:p w14:paraId="67120097" w14:textId="491001CA" w:rsidR="003547C5" w:rsidRPr="007074B7" w:rsidRDefault="00FB146B" w:rsidP="003547C5">
      <w:pPr>
        <w:pStyle w:val="SML11"/>
        <w:keepNext/>
      </w:pPr>
      <w:r>
        <w:t>Dodavatel</w:t>
      </w:r>
      <w:r w:rsidR="003547C5" w:rsidRPr="007074B7">
        <w:t xml:space="preserve"> </w:t>
      </w:r>
      <w:r w:rsidR="003547C5">
        <w:t xml:space="preserve">se </w:t>
      </w:r>
      <w:r w:rsidR="003547C5" w:rsidRPr="007074B7">
        <w:t xml:space="preserve">zavazuje plnit povinnosti </w:t>
      </w:r>
      <w:r w:rsidR="000C2A53">
        <w:t>Zadavatel</w:t>
      </w:r>
      <w:r w:rsidR="003547C5" w:rsidRPr="007074B7">
        <w:t xml:space="preserve">e stanovené </w:t>
      </w:r>
      <w:r>
        <w:t>Z</w:t>
      </w:r>
      <w:r w:rsidR="00897CBC">
        <w:t>Z</w:t>
      </w:r>
      <w:r>
        <w:t>OÚ</w:t>
      </w:r>
      <w:r w:rsidR="003547C5" w:rsidRPr="007074B7">
        <w:t xml:space="preserve">, GDPR a </w:t>
      </w:r>
      <w:r w:rsidR="00112C71">
        <w:t>touto</w:t>
      </w:r>
      <w:r>
        <w:t xml:space="preserve"> </w:t>
      </w:r>
      <w:r w:rsidR="003547C5" w:rsidRPr="007074B7">
        <w:t>Smlouvou, a to zejména:</w:t>
      </w:r>
    </w:p>
    <w:p w14:paraId="38AD8676" w14:textId="6E60BE29" w:rsidR="003547C5" w:rsidRPr="007074B7" w:rsidRDefault="003547C5" w:rsidP="003547C5">
      <w:pPr>
        <w:pStyle w:val="SML111"/>
        <w:ind w:left="1418" w:hanging="698"/>
      </w:pPr>
      <w:r w:rsidRPr="007074B7">
        <w:t xml:space="preserve">dodržovat prostředky a způsoby zpracování Osobních údajů stanovené </w:t>
      </w:r>
      <w:r w:rsidR="00112C71">
        <w:t>touto Smlouvou</w:t>
      </w:r>
      <w:r w:rsidRPr="007074B7">
        <w:t>;</w:t>
      </w:r>
    </w:p>
    <w:p w14:paraId="740C1C07" w14:textId="784AC81C" w:rsidR="003547C5" w:rsidRPr="007074B7" w:rsidRDefault="003547C5" w:rsidP="003547C5">
      <w:pPr>
        <w:pStyle w:val="SML111"/>
        <w:ind w:left="1418" w:hanging="698"/>
      </w:pPr>
      <w:r w:rsidRPr="007074B7">
        <w:t xml:space="preserve">zpracovat pouze přesné Osobní údaje, které byly získány v souladu se </w:t>
      </w:r>
      <w:r w:rsidR="00FB146B">
        <w:t>Z</w:t>
      </w:r>
      <w:r w:rsidR="00106FCA">
        <w:t>Z</w:t>
      </w:r>
      <w:r w:rsidR="00FB146B">
        <w:t>OÚ</w:t>
      </w:r>
      <w:r>
        <w:t xml:space="preserve"> a</w:t>
      </w:r>
      <w:r w:rsidR="00AB5244">
        <w:t> </w:t>
      </w:r>
      <w:r>
        <w:t>GDPR</w:t>
      </w:r>
      <w:r w:rsidRPr="007074B7">
        <w:t xml:space="preserve">, a je-li to nezbytné, Osobní údaje aktualizovat; zpracovává-li </w:t>
      </w:r>
      <w:r w:rsidR="00FB146B">
        <w:t xml:space="preserve">Dodavatel </w:t>
      </w:r>
      <w:r w:rsidRPr="007074B7">
        <w:t xml:space="preserve">nepřesné Osobní údaje, je povinen bez zbytečného odkladu provést přiměřená opatření, zejména zpracování blokovat, Osobní údaje opravit nebo doplnit, </w:t>
      </w:r>
      <w:r>
        <w:t>nebo není-li to možné, nepřesné</w:t>
      </w:r>
      <w:r w:rsidRPr="007074B7">
        <w:t xml:space="preserve"> Osobní údaje zlikvidovat;</w:t>
      </w:r>
    </w:p>
    <w:p w14:paraId="0F9C3D78" w14:textId="77777777" w:rsidR="003547C5" w:rsidRPr="007074B7" w:rsidRDefault="003547C5" w:rsidP="003547C5">
      <w:pPr>
        <w:pStyle w:val="SML111"/>
        <w:ind w:left="1418" w:hanging="698"/>
      </w:pPr>
      <w:r w:rsidRPr="007074B7">
        <w:t>shromažďovat Osobní údaje odpovídající účelu zpracování a pouze v rozsahu nezbytném pro naplnění tohoto účelu;</w:t>
      </w:r>
    </w:p>
    <w:p w14:paraId="77EEE10F" w14:textId="77777777" w:rsidR="003547C5" w:rsidRPr="007074B7" w:rsidRDefault="003547C5" w:rsidP="003547C5">
      <w:pPr>
        <w:pStyle w:val="SML111"/>
        <w:ind w:left="1418" w:hanging="698"/>
      </w:pPr>
      <w:r w:rsidRPr="007074B7">
        <w:t>zpracovávat Osobní údaje pouze v souladu s účelem, k němuž byly shromážděny;</w:t>
      </w:r>
    </w:p>
    <w:p w14:paraId="223CECB2" w14:textId="77777777" w:rsidR="003547C5" w:rsidRPr="007074B7" w:rsidRDefault="003547C5" w:rsidP="003547C5">
      <w:pPr>
        <w:pStyle w:val="SML111"/>
        <w:ind w:left="1418" w:hanging="698"/>
      </w:pPr>
      <w:r w:rsidRPr="007074B7">
        <w:t>uchovávat Osobní údaje pouze po dobu, která je nezbytná k účelu jejich zpracování;</w:t>
      </w:r>
    </w:p>
    <w:p w14:paraId="1651200A" w14:textId="77777777" w:rsidR="003547C5" w:rsidRPr="007074B7" w:rsidRDefault="003547C5" w:rsidP="003547C5">
      <w:pPr>
        <w:pStyle w:val="SML111"/>
        <w:ind w:left="1418" w:hanging="698"/>
      </w:pPr>
      <w:r w:rsidRPr="007074B7">
        <w:t>nesdružovat Osobní údaje, které byly získány k rozdílným účelům;</w:t>
      </w:r>
    </w:p>
    <w:p w14:paraId="4146DC06" w14:textId="77777777" w:rsidR="003547C5" w:rsidRPr="007074B7" w:rsidRDefault="003547C5" w:rsidP="003547C5">
      <w:pPr>
        <w:pStyle w:val="SML111"/>
        <w:ind w:left="1418" w:hanging="698"/>
      </w:pPr>
      <w:r w:rsidRPr="007074B7">
        <w:t>zpracovávat Osobní údaje tak, aby subjekt údajů neutrpěl újmu na svých právech, zejména na právu na zachování lidské důstojnosti, a dbát na ochranu před neoprávněným zasahováním do soukromého a osobního života subjektu údajů;</w:t>
      </w:r>
    </w:p>
    <w:p w14:paraId="5673BB74" w14:textId="106C1958" w:rsidR="003547C5" w:rsidRPr="00253D7E" w:rsidRDefault="003547C5" w:rsidP="003547C5">
      <w:pPr>
        <w:pStyle w:val="SML111"/>
        <w:ind w:left="1418" w:hanging="698"/>
      </w:pPr>
      <w:r w:rsidRPr="00253D7E">
        <w:t xml:space="preserve">přijmout bezpečnostní opatření stanovená </w:t>
      </w:r>
      <w:r w:rsidR="006970CC">
        <w:t xml:space="preserve">dle </w:t>
      </w:r>
      <w:r w:rsidR="00112C71">
        <w:t>této Smlouvy</w:t>
      </w:r>
      <w:r w:rsidRPr="00253D7E">
        <w:t>;</w:t>
      </w:r>
    </w:p>
    <w:p w14:paraId="30EB32D9" w14:textId="4D4B6C84" w:rsidR="003547C5" w:rsidRPr="007074B7" w:rsidRDefault="003547C5" w:rsidP="003547C5">
      <w:pPr>
        <w:pStyle w:val="SML111"/>
        <w:ind w:left="1418" w:hanging="698"/>
      </w:pPr>
      <w:r w:rsidRPr="007074B7">
        <w:t xml:space="preserve">provést likvidaci Osobních údajů na základě pokynu </w:t>
      </w:r>
      <w:r w:rsidR="000C2A53">
        <w:t>Zadavatel</w:t>
      </w:r>
      <w:r w:rsidR="00456ED7">
        <w:t>e</w:t>
      </w:r>
      <w:r w:rsidRPr="007074B7">
        <w:t xml:space="preserve"> nebo na</w:t>
      </w:r>
      <w:r w:rsidR="006D4EFA">
        <w:t> </w:t>
      </w:r>
      <w:r w:rsidRPr="007074B7">
        <w:t>základě žádosti subjektu údajů; a</w:t>
      </w:r>
    </w:p>
    <w:p w14:paraId="4A0A8347" w14:textId="43522A3A" w:rsidR="003547C5" w:rsidRDefault="003547C5" w:rsidP="003547C5">
      <w:pPr>
        <w:pStyle w:val="SML111"/>
        <w:ind w:left="1418" w:hanging="698"/>
      </w:pPr>
      <w:r w:rsidRPr="007074B7">
        <w:t xml:space="preserve">nepředávat Osobní údaje třetím osobám bez pověření </w:t>
      </w:r>
      <w:r w:rsidR="000C2A53">
        <w:t>Zadavatel</w:t>
      </w:r>
      <w:r w:rsidR="00456ED7">
        <w:t>e</w:t>
      </w:r>
      <w:r w:rsidRPr="007074B7">
        <w:t xml:space="preserve">. </w:t>
      </w:r>
    </w:p>
    <w:p w14:paraId="105B0979" w14:textId="0B8F579F" w:rsidR="003547C5" w:rsidRDefault="00FB146B" w:rsidP="003547C5">
      <w:pPr>
        <w:pStyle w:val="SML11"/>
        <w:keepNext/>
      </w:pPr>
      <w:bookmarkStart w:id="21" w:name="_Ref506899792"/>
      <w:r>
        <w:t>Dodavatel</w:t>
      </w:r>
      <w:r w:rsidR="003547C5">
        <w:t xml:space="preserve"> se zavazuje bez zbytečného odkladu na výzvu </w:t>
      </w:r>
      <w:r w:rsidR="000C2A53">
        <w:t>Zadavatel</w:t>
      </w:r>
      <w:r w:rsidR="00456ED7">
        <w:t>e</w:t>
      </w:r>
      <w:r w:rsidR="003547C5">
        <w:t xml:space="preserve">, nejpozději však do 30 dní od doručení výzvy </w:t>
      </w:r>
      <w:r w:rsidR="000C2A53">
        <w:t>Zadavatel</w:t>
      </w:r>
      <w:r w:rsidR="00456ED7">
        <w:t>e</w:t>
      </w:r>
      <w:r w:rsidR="003547C5">
        <w:t>:</w:t>
      </w:r>
      <w:bookmarkEnd w:id="21"/>
    </w:p>
    <w:p w14:paraId="0F870FCC" w14:textId="47571FCE" w:rsidR="003547C5" w:rsidRDefault="003547C5" w:rsidP="003547C5">
      <w:pPr>
        <w:pStyle w:val="SML111"/>
        <w:ind w:left="1418" w:hanging="698"/>
      </w:pPr>
      <w:r>
        <w:t xml:space="preserve">nahradit </w:t>
      </w:r>
      <w:r w:rsidR="000C2A53">
        <w:t>Zadavatel</w:t>
      </w:r>
      <w:r w:rsidR="00456ED7">
        <w:t>i</w:t>
      </w:r>
      <w:r>
        <w:t xml:space="preserve"> jakékoliv plnění, které byl </w:t>
      </w:r>
      <w:r w:rsidR="000C2A53">
        <w:t>Zadavatel</w:t>
      </w:r>
      <w:r>
        <w:t xml:space="preserve"> povinen poskytnout třetí osobě z důvodu porušení práv subjektu údajů v důsledku porušení povinností dle </w:t>
      </w:r>
      <w:r w:rsidR="00112C71">
        <w:t>této Smlouvy</w:t>
      </w:r>
      <w:r>
        <w:t xml:space="preserve"> nebo dle právního řádu při zpracování Osobních údajů </w:t>
      </w:r>
      <w:r w:rsidR="00FB146B">
        <w:t>Dodavatelem</w:t>
      </w:r>
      <w:r>
        <w:t>;</w:t>
      </w:r>
    </w:p>
    <w:p w14:paraId="4B75B85C" w14:textId="2A0A0FF9" w:rsidR="003547C5" w:rsidRDefault="003547C5" w:rsidP="003547C5">
      <w:pPr>
        <w:pStyle w:val="SML111"/>
        <w:ind w:left="1418" w:hanging="698"/>
      </w:pPr>
      <w:r>
        <w:t xml:space="preserve">nahradit </w:t>
      </w:r>
      <w:r w:rsidR="000C2A53">
        <w:t>Zadavatel</w:t>
      </w:r>
      <w:r w:rsidR="008E53EA">
        <w:t>i</w:t>
      </w:r>
      <w:r>
        <w:t xml:space="preserve"> jakékoliv plnění, které byl </w:t>
      </w:r>
      <w:r w:rsidR="000C2A53">
        <w:t>Zadavatel</w:t>
      </w:r>
      <w:r>
        <w:t xml:space="preserve"> povinen vynaložit na správní sankce uložené mu v důsledku porušení povinností dle </w:t>
      </w:r>
      <w:r w:rsidR="00112C71">
        <w:t>této Smlouvy</w:t>
      </w:r>
      <w:r w:rsidR="006970CC">
        <w:t xml:space="preserve"> </w:t>
      </w:r>
      <w:r>
        <w:t xml:space="preserve">nebo dle právního řádu při zpracování Osobních údajů </w:t>
      </w:r>
      <w:r w:rsidR="00FB146B">
        <w:t>Dodavatelem</w:t>
      </w:r>
      <w:r>
        <w:t>; a</w:t>
      </w:r>
    </w:p>
    <w:p w14:paraId="7E2E848C" w14:textId="3F8B324F" w:rsidR="003547C5" w:rsidRPr="007074B7" w:rsidRDefault="003547C5" w:rsidP="003547C5">
      <w:pPr>
        <w:pStyle w:val="SML111"/>
        <w:ind w:left="1418" w:hanging="698"/>
      </w:pPr>
      <w:r>
        <w:t xml:space="preserve">nahradit </w:t>
      </w:r>
      <w:r w:rsidR="000C2A53">
        <w:t>Zadavatel</w:t>
      </w:r>
      <w:r w:rsidR="008E53EA">
        <w:t xml:space="preserve">i </w:t>
      </w:r>
      <w:r>
        <w:t xml:space="preserve">jakoukoliv újmu vzniklou v důsledku uplatnění právních nároků třetích osob vůči </w:t>
      </w:r>
      <w:r w:rsidR="000C2A53">
        <w:t>Zadavatel</w:t>
      </w:r>
      <w:r w:rsidR="008E53EA">
        <w:t>i</w:t>
      </w:r>
      <w:r>
        <w:t xml:space="preserve"> nebo správního řízení vedeného vůči </w:t>
      </w:r>
      <w:r w:rsidR="000C2A53">
        <w:t>Zadavatel</w:t>
      </w:r>
      <w:r w:rsidR="008E53EA">
        <w:t>i</w:t>
      </w:r>
      <w:r>
        <w:t xml:space="preserve"> z důvodu porušení práva na ochranu osobních údajů, pokud tyto nároky nebo správní řízení měly svůj původ v porušení povinností plynoucích z</w:t>
      </w:r>
      <w:r w:rsidR="00112C71">
        <w:t> této Smlouvy</w:t>
      </w:r>
      <w:r>
        <w:t xml:space="preserve"> nebo z právního řádu při zpracování Osobních údajů </w:t>
      </w:r>
      <w:r w:rsidR="00FB146B">
        <w:t>Dodavatelem</w:t>
      </w:r>
      <w:r>
        <w:t>.</w:t>
      </w:r>
    </w:p>
    <w:p w14:paraId="0626D90D" w14:textId="6CF77E5F" w:rsidR="00112C71" w:rsidRDefault="00112C71" w:rsidP="004978E7">
      <w:pPr>
        <w:pStyle w:val="SML1"/>
      </w:pPr>
      <w:bookmarkStart w:id="22" w:name="_Ref2760128"/>
      <w:r>
        <w:lastRenderedPageBreak/>
        <w:t>Sankce</w:t>
      </w:r>
      <w:bookmarkEnd w:id="22"/>
    </w:p>
    <w:p w14:paraId="4D808D27" w14:textId="5F5362FE" w:rsidR="00112C71" w:rsidRDefault="00112C71" w:rsidP="00112C71">
      <w:pPr>
        <w:pStyle w:val="SML11"/>
      </w:pPr>
      <w:bookmarkStart w:id="23" w:name="_Ref2149058"/>
      <w:r>
        <w:t>Poruší-li Dodavatel kteroukoliv z povinností stanovených touto Smlouvou a nesjedná</w:t>
      </w:r>
      <w:r>
        <w:noBreakHyphen/>
        <w:t xml:space="preserve">li v přiměřené lhůtě stanovené </w:t>
      </w:r>
      <w:r w:rsidR="000C2A53">
        <w:t>Zadavatel</w:t>
      </w:r>
      <w:r>
        <w:t xml:space="preserve">em nápravu, je </w:t>
      </w:r>
      <w:r w:rsidR="000C2A53">
        <w:t>Zadavatel</w:t>
      </w:r>
      <w:r>
        <w:t xml:space="preserve"> oprávněn pozastavit předávání Osobních údajů Dodavateli do okamžiku sjednání nápravy.</w:t>
      </w:r>
    </w:p>
    <w:bookmarkEnd w:id="23"/>
    <w:p w14:paraId="2C963A0A" w14:textId="36834437" w:rsidR="00112C71" w:rsidRPr="00B42AB6" w:rsidRDefault="00045D33" w:rsidP="00112C71">
      <w:pPr>
        <w:pStyle w:val="SML11"/>
      </w:pPr>
      <w:r w:rsidRPr="00B42AB6">
        <w:t>V</w:t>
      </w:r>
      <w:r w:rsidR="00112C71" w:rsidRPr="00B42AB6">
        <w:t xml:space="preserve"> případě porušení některé z následujících povinností Dodavatele:</w:t>
      </w:r>
    </w:p>
    <w:p w14:paraId="3EDF4AE6" w14:textId="496BEB0C" w:rsidR="00C752BD" w:rsidRPr="00B42AB6" w:rsidRDefault="00112C71" w:rsidP="00112C71">
      <w:pPr>
        <w:pStyle w:val="SML111"/>
        <w:ind w:left="1418" w:hanging="698"/>
      </w:pPr>
      <w:r w:rsidRPr="00B42AB6">
        <w:t xml:space="preserve">nezapojit </w:t>
      </w:r>
      <w:r w:rsidR="00FC3D92">
        <w:t>s</w:t>
      </w:r>
      <w:r w:rsidRPr="00B42AB6">
        <w:t xml:space="preserve">ubdodavatele do zpracování </w:t>
      </w:r>
      <w:r w:rsidR="00E329D9" w:rsidRPr="00B42AB6">
        <w:t>o</w:t>
      </w:r>
      <w:r w:rsidR="00915166" w:rsidRPr="00B42AB6">
        <w:t>sobních údajů</w:t>
      </w:r>
      <w:r w:rsidR="00C752BD" w:rsidRPr="00B42AB6">
        <w:t xml:space="preserve"> </w:t>
      </w:r>
      <w:r w:rsidR="00E329D9" w:rsidRPr="00B42AB6">
        <w:t xml:space="preserve">dle této Smlouvy </w:t>
      </w:r>
      <w:r w:rsidR="00915166" w:rsidRPr="00B42AB6">
        <w:t xml:space="preserve">v rozporu s </w:t>
      </w:r>
      <w:r w:rsidR="00C752BD" w:rsidRPr="00B42AB6">
        <w:t xml:space="preserve">čl. </w:t>
      </w:r>
      <w:r w:rsidR="00C752BD" w:rsidRPr="00B42AB6">
        <w:fldChar w:fldCharType="begin"/>
      </w:r>
      <w:r w:rsidR="00C752BD" w:rsidRPr="00B42AB6">
        <w:instrText xml:space="preserve"> REF _Ref517338778 \r \h </w:instrText>
      </w:r>
      <w:r w:rsidR="00045D33" w:rsidRPr="00B42AB6">
        <w:instrText xml:space="preserve"> \* MERGEFORMAT </w:instrText>
      </w:r>
      <w:r w:rsidR="00C752BD" w:rsidRPr="00B42AB6">
        <w:fldChar w:fldCharType="separate"/>
      </w:r>
      <w:r w:rsidR="00B108F3" w:rsidRPr="00B42AB6">
        <w:t>7</w:t>
      </w:r>
      <w:r w:rsidR="00C752BD" w:rsidRPr="00B42AB6">
        <w:fldChar w:fldCharType="end"/>
      </w:r>
      <w:r w:rsidR="00C752BD" w:rsidRPr="00B42AB6">
        <w:t>. této Smlouvy, nebo</w:t>
      </w:r>
      <w:r w:rsidRPr="00B42AB6">
        <w:t xml:space="preserve"> </w:t>
      </w:r>
    </w:p>
    <w:p w14:paraId="3CB087E9" w14:textId="5B04E123" w:rsidR="00112C71" w:rsidRPr="00B42AB6" w:rsidRDefault="00112C71" w:rsidP="00112C71">
      <w:pPr>
        <w:pStyle w:val="SML111"/>
        <w:ind w:left="1418" w:hanging="698"/>
      </w:pPr>
      <w:r w:rsidRPr="00B42AB6">
        <w:t>technicky a organizačně zabezpečit ochranu zpracovávaných Osobních údajů dle čl.</w:t>
      </w:r>
      <w:r w:rsidR="00744B92" w:rsidRPr="00B42AB6">
        <w:t xml:space="preserve"> </w:t>
      </w:r>
      <w:r w:rsidR="00744B92" w:rsidRPr="00B42AB6">
        <w:fldChar w:fldCharType="begin"/>
      </w:r>
      <w:r w:rsidR="00744B92" w:rsidRPr="00B42AB6">
        <w:instrText xml:space="preserve"> REF _Ref2760143 \r \h </w:instrText>
      </w:r>
      <w:r w:rsidR="00045D33" w:rsidRPr="00B42AB6">
        <w:instrText xml:space="preserve"> \* MERGEFORMAT </w:instrText>
      </w:r>
      <w:r w:rsidR="00744B92" w:rsidRPr="00B42AB6">
        <w:fldChar w:fldCharType="separate"/>
      </w:r>
      <w:r w:rsidR="00B108F3" w:rsidRPr="00B42AB6">
        <w:t>5</w:t>
      </w:r>
      <w:r w:rsidR="00744B92" w:rsidRPr="00B42AB6">
        <w:fldChar w:fldCharType="end"/>
      </w:r>
      <w:r w:rsidRPr="00B42AB6">
        <w:t xml:space="preserve">. této Smlouvy, nebo </w:t>
      </w:r>
    </w:p>
    <w:p w14:paraId="5B5AD8EC" w14:textId="619B7D7E" w:rsidR="00112C71" w:rsidRPr="00B42AB6" w:rsidRDefault="00112C71" w:rsidP="00112C71">
      <w:pPr>
        <w:pStyle w:val="SML111"/>
        <w:ind w:left="1418" w:hanging="698"/>
      </w:pPr>
      <w:r w:rsidRPr="00B42AB6">
        <w:t>předat nebo zlikvidovat Osobní údaje ve stanovené maximální lhůtě dle odst. </w:t>
      </w:r>
      <w:r w:rsidRPr="00B42AB6">
        <w:fldChar w:fldCharType="begin"/>
      </w:r>
      <w:r w:rsidRPr="00B42AB6">
        <w:instrText xml:space="preserve"> REF _Ref2755101 \r \h </w:instrText>
      </w:r>
      <w:r w:rsidR="00045D33" w:rsidRPr="00B42AB6">
        <w:instrText xml:space="preserve"> \* MERGEFORMAT </w:instrText>
      </w:r>
      <w:r w:rsidRPr="00B42AB6">
        <w:fldChar w:fldCharType="separate"/>
      </w:r>
      <w:r w:rsidR="00B108F3" w:rsidRPr="00B42AB6">
        <w:t>10.3</w:t>
      </w:r>
      <w:r w:rsidRPr="00B42AB6">
        <w:fldChar w:fldCharType="end"/>
      </w:r>
      <w:r w:rsidR="00C752BD" w:rsidRPr="00B42AB6">
        <w:t>.</w:t>
      </w:r>
      <w:r w:rsidRPr="00B42AB6">
        <w:t xml:space="preserve"> této Smlouvy,</w:t>
      </w:r>
    </w:p>
    <w:p w14:paraId="0BC7B2DF" w14:textId="25CF1B07" w:rsidR="00B57F79" w:rsidRDefault="00C03FE8" w:rsidP="00B57F79">
      <w:pPr>
        <w:pStyle w:val="SML11"/>
        <w:numPr>
          <w:ilvl w:val="0"/>
          <w:numId w:val="0"/>
        </w:numPr>
        <w:ind w:left="709"/>
      </w:pPr>
      <w:r w:rsidRPr="00B42AB6">
        <w:t xml:space="preserve">má </w:t>
      </w:r>
      <w:r w:rsidR="000C2A53" w:rsidRPr="00B42AB6">
        <w:t>Z</w:t>
      </w:r>
      <w:r w:rsidR="000C2A53" w:rsidRPr="00045D33">
        <w:t>adavatel</w:t>
      </w:r>
      <w:r w:rsidRPr="00045D33">
        <w:t xml:space="preserve"> právo uplatnit vůči Dodavateli smluvní pokutu ve výši 10.000</w:t>
      </w:r>
      <w:r w:rsidR="00B57F79">
        <w:t>,-</w:t>
      </w:r>
      <w:r w:rsidRPr="00045D33">
        <w:t xml:space="preserve"> Kč</w:t>
      </w:r>
      <w:r w:rsidR="00B57F79">
        <w:t xml:space="preserve"> (slovy: deset tisíc korun českých)</w:t>
      </w:r>
      <w:r w:rsidRPr="00045D33">
        <w:t xml:space="preserve"> za každý jednotlivý případ porušení některé z povinností podle tohoto odstavce</w:t>
      </w:r>
      <w:r w:rsidR="00D10EC5" w:rsidRPr="00045D33">
        <w:t>.</w:t>
      </w:r>
    </w:p>
    <w:p w14:paraId="698CEFB8" w14:textId="31657642" w:rsidR="00B57F79" w:rsidRPr="00045D33" w:rsidRDefault="00B57F79" w:rsidP="00B57F79">
      <w:pPr>
        <w:pStyle w:val="SML11"/>
        <w:numPr>
          <w:ilvl w:val="0"/>
          <w:numId w:val="0"/>
        </w:numPr>
        <w:ind w:left="709"/>
      </w:pPr>
      <w:r>
        <w:t xml:space="preserve">V případě porušení povinnosti Dodavatele zachovávat mlčenlivost dle čl. 4. této Smlouvy, </w:t>
      </w:r>
      <w:r w:rsidRPr="00B42AB6">
        <w:t>má Z</w:t>
      </w:r>
      <w:r w:rsidRPr="00045D33">
        <w:t xml:space="preserve">adavatel právo uplatnit vůči Dodavateli smluvní pokutu ve výši </w:t>
      </w:r>
      <w:r>
        <w:br/>
      </w:r>
      <w:r w:rsidRPr="00045D33">
        <w:t>10</w:t>
      </w:r>
      <w:r>
        <w:t>0</w:t>
      </w:r>
      <w:r w:rsidRPr="00045D33">
        <w:t>.000</w:t>
      </w:r>
      <w:r>
        <w:t xml:space="preserve">,- </w:t>
      </w:r>
      <w:r w:rsidRPr="00045D33">
        <w:t>Kč</w:t>
      </w:r>
      <w:r>
        <w:t xml:space="preserve"> (slovy: jedno sto tisíc korun českých)</w:t>
      </w:r>
      <w:r w:rsidRPr="00045D33">
        <w:t xml:space="preserve"> za každý jednotlivý případ porušení </w:t>
      </w:r>
      <w:r>
        <w:t>této povinnosti</w:t>
      </w:r>
      <w:r w:rsidR="005D23C0">
        <w:t>; to neplatí, pokud by za téže porušení povinnosti Dodavatele vzniklo Zadavateli právo požadovat nižší smluvní pokutu (viz předchozí odstavec tohoto čl. 9.2 Smlouvy)</w:t>
      </w:r>
      <w:r w:rsidRPr="00045D33">
        <w:t>.</w:t>
      </w:r>
    </w:p>
    <w:p w14:paraId="03CFA293" w14:textId="69EEFF6A" w:rsidR="00112C71" w:rsidRDefault="00112C71" w:rsidP="00112C71">
      <w:pPr>
        <w:pStyle w:val="SML11"/>
      </w:pPr>
      <w:r>
        <w:t>Smluvní pokuta, kterou je Smluvní strana povinna zaplatit dle tohoto čl.</w:t>
      </w:r>
      <w:r w:rsidR="00744B92">
        <w:t xml:space="preserve"> </w:t>
      </w:r>
      <w:r w:rsidR="00744B92">
        <w:fldChar w:fldCharType="begin"/>
      </w:r>
      <w:r w:rsidR="00744B92">
        <w:instrText xml:space="preserve"> REF _Ref2760128 \r \h </w:instrText>
      </w:r>
      <w:r w:rsidR="00744B92">
        <w:fldChar w:fldCharType="separate"/>
      </w:r>
      <w:r w:rsidR="00B108F3">
        <w:t>9</w:t>
      </w:r>
      <w:r w:rsidR="00744B92">
        <w:fldChar w:fldCharType="end"/>
      </w:r>
      <w:r>
        <w:t>. Smlouvy</w:t>
      </w:r>
      <w:r w:rsidR="00C752BD">
        <w:t>,</w:t>
      </w:r>
      <w:r>
        <w:t xml:space="preserve"> je splatná ve lhůtě 7 dní ode dne doručení písemné výzvy </w:t>
      </w:r>
      <w:r w:rsidR="000C2A53">
        <w:t>Zadavatel</w:t>
      </w:r>
      <w:r>
        <w:t xml:space="preserve">e k uhrazení smluvní pokuty Dodavatelem a považuje se za uhrazenou v den připsání plné výše smluvní pokuty na účet </w:t>
      </w:r>
      <w:r w:rsidR="000C2A53">
        <w:t>Zadavatel</w:t>
      </w:r>
      <w:r>
        <w:t>e.</w:t>
      </w:r>
    </w:p>
    <w:p w14:paraId="4F9C976D" w14:textId="1A24B672" w:rsidR="00112C71" w:rsidRPr="00FB2143" w:rsidRDefault="00112C71" w:rsidP="00112C71">
      <w:pPr>
        <w:pStyle w:val="SML11"/>
      </w:pPr>
      <w:r>
        <w:t>Zaplacením</w:t>
      </w:r>
      <w:r w:rsidRPr="00FB2143">
        <w:t xml:space="preserve"> smluvní pokuty není dotčeno právo </w:t>
      </w:r>
      <w:r w:rsidR="000C2A53">
        <w:t>Zadavatel</w:t>
      </w:r>
      <w:r w:rsidRPr="00FB2143">
        <w:t xml:space="preserve">e na náhradu </w:t>
      </w:r>
      <w:r>
        <w:t>újmy</w:t>
      </w:r>
      <w:r w:rsidRPr="00FB2143">
        <w:t xml:space="preserve"> vzniklé porušením</w:t>
      </w:r>
      <w:r>
        <w:t xml:space="preserve"> příslušné povinnosti Dodavatelem</w:t>
      </w:r>
      <w:r w:rsidRPr="00FB2143">
        <w:t xml:space="preserve"> v plné výši a nezaniká povinnost Dodavatele splnit závazek </w:t>
      </w:r>
      <w:r>
        <w:t>utvrzený</w:t>
      </w:r>
      <w:r w:rsidRPr="00FB2143">
        <w:t xml:space="preserve"> smluvní pokutou.</w:t>
      </w:r>
    </w:p>
    <w:p w14:paraId="599FFAF9" w14:textId="7A2076B6" w:rsidR="004978E7" w:rsidRDefault="00112C71" w:rsidP="004978E7">
      <w:pPr>
        <w:pStyle w:val="SML1"/>
      </w:pPr>
      <w:r>
        <w:t xml:space="preserve">Trvání </w:t>
      </w:r>
      <w:r w:rsidR="004978E7">
        <w:t>Smlouvy</w:t>
      </w:r>
    </w:p>
    <w:p w14:paraId="5474B839" w14:textId="309BCD64" w:rsidR="00112C71" w:rsidRDefault="00112C71" w:rsidP="00112C71">
      <w:pPr>
        <w:pStyle w:val="SML11"/>
      </w:pPr>
      <w:r>
        <w:t xml:space="preserve">Smlouva je sjednána na dobu určitou, a to </w:t>
      </w:r>
      <w:r w:rsidR="00045D33">
        <w:t xml:space="preserve">do skončení </w:t>
      </w:r>
      <w:r w:rsidR="007360F5">
        <w:t>Z</w:t>
      </w:r>
      <w:r w:rsidR="00D22080">
        <w:t xml:space="preserve">adávacího </w:t>
      </w:r>
      <w:r w:rsidR="00B42AB6">
        <w:t xml:space="preserve">řízení </w:t>
      </w:r>
      <w:r w:rsidR="00D22080">
        <w:t>Veřejné zakázky</w:t>
      </w:r>
      <w:r w:rsidR="005325EF">
        <w:t xml:space="preserve"> (z jakéhokoliv důvodu)</w:t>
      </w:r>
      <w:r w:rsidR="00045D33">
        <w:t xml:space="preserve">. </w:t>
      </w:r>
    </w:p>
    <w:p w14:paraId="0466FB01" w14:textId="6C4048E7" w:rsidR="00112C71" w:rsidRDefault="00112C71" w:rsidP="004978E7">
      <w:pPr>
        <w:pStyle w:val="SML11"/>
      </w:pPr>
      <w:r>
        <w:t xml:space="preserve">Smlouva nabyde účinnosti </w:t>
      </w:r>
      <w:r w:rsidR="00886ED8">
        <w:t>jejím podpisem oprávněnými zástupci obou Smluvních stran</w:t>
      </w:r>
      <w:r w:rsidR="00C752BD">
        <w:t>.</w:t>
      </w:r>
    </w:p>
    <w:p w14:paraId="729794CA" w14:textId="16F42AEE" w:rsidR="004978E7" w:rsidRDefault="004978E7" w:rsidP="004978E7">
      <w:pPr>
        <w:pStyle w:val="SML11"/>
      </w:pPr>
      <w:bookmarkStart w:id="24" w:name="_Ref2755101"/>
      <w:r>
        <w:t xml:space="preserve">V případě ukončení Smlouvy se </w:t>
      </w:r>
      <w:r w:rsidR="00FB146B">
        <w:t>Dodavatel</w:t>
      </w:r>
      <w:r>
        <w:t xml:space="preserve"> zavazuje všechny </w:t>
      </w:r>
      <w:r w:rsidR="00EA2CCC">
        <w:t xml:space="preserve">Důvěrné informace (vč. </w:t>
      </w:r>
      <w:r>
        <w:t>Osobní</w:t>
      </w:r>
      <w:r w:rsidR="00EA2CCC">
        <w:t>ch</w:t>
      </w:r>
      <w:r>
        <w:t xml:space="preserve"> údaj</w:t>
      </w:r>
      <w:r w:rsidR="00EA2CCC">
        <w:t>ů)</w:t>
      </w:r>
      <w:r>
        <w:t xml:space="preserve"> </w:t>
      </w:r>
      <w:r w:rsidR="00EA2CCC">
        <w:t xml:space="preserve">vymazat nebo </w:t>
      </w:r>
      <w:r>
        <w:t xml:space="preserve">předat </w:t>
      </w:r>
      <w:r w:rsidR="000C2A53">
        <w:t>Zadavatel</w:t>
      </w:r>
      <w:r w:rsidR="00B73DFF">
        <w:t>i</w:t>
      </w:r>
      <w:r>
        <w:t xml:space="preserve"> </w:t>
      </w:r>
      <w:r w:rsidR="00112C71">
        <w:t xml:space="preserve">do 7 dnů od ukončení této Smlouvy </w:t>
      </w:r>
      <w:r>
        <w:t xml:space="preserve">a </w:t>
      </w:r>
      <w:r w:rsidR="00C37166">
        <w:t xml:space="preserve">dále </w:t>
      </w:r>
      <w:r>
        <w:t>vymazat existující kopie, pokud mu zákon neukládá takové existující kopie zachovat.</w:t>
      </w:r>
      <w:bookmarkEnd w:id="24"/>
    </w:p>
    <w:p w14:paraId="3C340AEF" w14:textId="301F97B2" w:rsidR="004978E7" w:rsidRDefault="00FB146B" w:rsidP="004978E7">
      <w:pPr>
        <w:pStyle w:val="SML11"/>
      </w:pPr>
      <w:r>
        <w:t>Dodavatel</w:t>
      </w:r>
      <w:r w:rsidR="004978E7">
        <w:t xml:space="preserve"> se zavazuje zachovávat mlčenlivost dle čl. </w:t>
      </w:r>
      <w:r w:rsidR="004978E7">
        <w:fldChar w:fldCharType="begin"/>
      </w:r>
      <w:r w:rsidR="004978E7">
        <w:instrText xml:space="preserve"> REF _Ref506899662 \r \h </w:instrText>
      </w:r>
      <w:r w:rsidR="004978E7">
        <w:fldChar w:fldCharType="separate"/>
      </w:r>
      <w:r w:rsidR="00B108F3">
        <w:t>4</w:t>
      </w:r>
      <w:r w:rsidR="004978E7">
        <w:fldChar w:fldCharType="end"/>
      </w:r>
      <w:r w:rsidR="004978E7">
        <w:t xml:space="preserve">. této Smlouvy a zajistit zabezpečení </w:t>
      </w:r>
      <w:r w:rsidR="005D23C0">
        <w:t xml:space="preserve">Důvěrných informací (vč. </w:t>
      </w:r>
      <w:r w:rsidR="004978E7">
        <w:t>Osobních údajů</w:t>
      </w:r>
      <w:r w:rsidR="005D23C0">
        <w:t>)</w:t>
      </w:r>
      <w:r w:rsidR="004978E7">
        <w:t xml:space="preserve">, pokud tyto </w:t>
      </w:r>
      <w:r w:rsidR="005D23C0">
        <w:t xml:space="preserve">Důvěrné informace </w:t>
      </w:r>
      <w:r w:rsidR="004978E7">
        <w:t xml:space="preserve">nezlikviduje, i po ukončení závazku z této Smlouvy. V případě porušení povinnosti mlčenlivosti nebo ochrany Osobních údajů ve smyslu tohoto ustanovení po ukončení </w:t>
      </w:r>
      <w:r w:rsidR="004978E7">
        <w:lastRenderedPageBreak/>
        <w:t xml:space="preserve">závazku z této Smlouvy se </w:t>
      </w:r>
      <w:r>
        <w:t>Dodavatel</w:t>
      </w:r>
      <w:r w:rsidR="004978E7" w:rsidRPr="00A9536D">
        <w:t xml:space="preserve"> zavazuje odškodnit </w:t>
      </w:r>
      <w:r w:rsidR="000C2A53">
        <w:t>Zadavatel</w:t>
      </w:r>
      <w:r w:rsidR="00A26ECD" w:rsidRPr="00A9536D">
        <w:t>e</w:t>
      </w:r>
      <w:r w:rsidR="004978E7" w:rsidRPr="00A9536D">
        <w:t xml:space="preserve"> za podmínek odst. </w:t>
      </w:r>
      <w:r w:rsidR="004978E7" w:rsidRPr="00A9536D">
        <w:fldChar w:fldCharType="begin"/>
      </w:r>
      <w:r w:rsidR="004978E7" w:rsidRPr="00A9536D">
        <w:instrText xml:space="preserve"> REF _Ref506899792 \r \h  \* MERGEFORMAT </w:instrText>
      </w:r>
      <w:r w:rsidR="004978E7" w:rsidRPr="00A9536D">
        <w:fldChar w:fldCharType="separate"/>
      </w:r>
      <w:r w:rsidR="00B108F3">
        <w:t>8.2</w:t>
      </w:r>
      <w:r w:rsidR="004978E7" w:rsidRPr="00A9536D">
        <w:fldChar w:fldCharType="end"/>
      </w:r>
      <w:r w:rsidR="004978E7" w:rsidRPr="00A9536D">
        <w:t>. této Smlouvy.</w:t>
      </w:r>
      <w:r w:rsidR="004978E7">
        <w:t xml:space="preserve"> Na toto ustanovení nemá ukončení závazku z této Smlouvy vliv.</w:t>
      </w:r>
    </w:p>
    <w:p w14:paraId="6BC651AC" w14:textId="77777777" w:rsidR="004E33FD" w:rsidRDefault="004E33FD" w:rsidP="004E33FD">
      <w:pPr>
        <w:pStyle w:val="SML11"/>
      </w:pPr>
      <w:r>
        <w:t>Nároky Smluvních stran na náhradu újmy a uhrazení smluvní pokuty vyplývající z této Smlouvy trvají i po zániku této Smlouvy.</w:t>
      </w:r>
    </w:p>
    <w:p w14:paraId="33944EEA" w14:textId="77777777" w:rsidR="004978E7" w:rsidRDefault="004978E7" w:rsidP="004978E7">
      <w:pPr>
        <w:pStyle w:val="SML1"/>
      </w:pPr>
      <w:r>
        <w:t>Závěrečná ustanovení</w:t>
      </w:r>
    </w:p>
    <w:p w14:paraId="2E4D03AC" w14:textId="2325BAE0" w:rsidR="00FB146B" w:rsidRPr="00144C8E" w:rsidRDefault="00FB146B" w:rsidP="00144C8E">
      <w:pPr>
        <w:pStyle w:val="SML11"/>
      </w:pPr>
      <w:r w:rsidRPr="00144C8E">
        <w:t xml:space="preserve">Pokud dojde ke změně právních předpisů, které upravují předmět a účel </w:t>
      </w:r>
      <w:r w:rsidR="00991AA6">
        <w:t>této Smlouvy</w:t>
      </w:r>
      <w:r w:rsidRPr="00144C8E">
        <w:t xml:space="preserve">, </w:t>
      </w:r>
      <w:r w:rsidR="00AE42BE">
        <w:t xml:space="preserve">nebo ke změně ujednání mezi </w:t>
      </w:r>
      <w:r w:rsidR="006F20F9">
        <w:t xml:space="preserve">HMP </w:t>
      </w:r>
      <w:r w:rsidR="00AE42BE">
        <w:t xml:space="preserve">a </w:t>
      </w:r>
      <w:r w:rsidR="000C2A53">
        <w:t>Zadavatel</w:t>
      </w:r>
      <w:r w:rsidR="00AE42BE">
        <w:t xml:space="preserve">em, </w:t>
      </w:r>
      <w:r w:rsidRPr="00144C8E">
        <w:t>zavazují se Smluvní stran</w:t>
      </w:r>
      <w:r w:rsidR="003F39B0">
        <w:t>y</w:t>
      </w:r>
      <w:r w:rsidRPr="00144C8E">
        <w:t xml:space="preserve"> obnovit jednání o </w:t>
      </w:r>
      <w:r w:rsidR="004E33FD">
        <w:t>této Smlouvě</w:t>
      </w:r>
      <w:r w:rsidRPr="00144C8E">
        <w:t xml:space="preserve"> s cílem uvést právní závazek upravující jejich práva a povinnosti ve vztahu ke zpracování osobních údajů do souladu s právním řádem.</w:t>
      </w:r>
    </w:p>
    <w:p w14:paraId="53E155C5" w14:textId="14C29B51" w:rsidR="004E33FD" w:rsidRPr="0048585E" w:rsidRDefault="004E33FD" w:rsidP="004E33FD">
      <w:pPr>
        <w:pStyle w:val="SML11"/>
      </w:pPr>
      <w:r w:rsidRPr="0048585E">
        <w:t xml:space="preserve">Každá ze </w:t>
      </w:r>
      <w:r w:rsidR="00C752BD">
        <w:t>S</w:t>
      </w:r>
      <w:r w:rsidRPr="0048585E">
        <w:t xml:space="preserve">mluvních stran potvrzuje, že při sjednávání této </w:t>
      </w:r>
      <w:r>
        <w:t>S</w:t>
      </w:r>
      <w:r w:rsidRPr="0048585E">
        <w:t xml:space="preserve">mlouvy postupovala čestně a transparentně a současně se zavazuje, že takto bude postupovat i při plnění této </w:t>
      </w:r>
      <w:r>
        <w:t>S</w:t>
      </w:r>
      <w:r w:rsidRPr="0048585E">
        <w:t>mlouvy a veškerých činnostech s ní souvisejících. Smluvní strany potvrzují, že se seznámily se zásadami Criminal compliance programu TSK (dále jen „</w:t>
      </w:r>
      <w:r w:rsidRPr="00C10A6B">
        <w:rPr>
          <w:b/>
        </w:rPr>
        <w:t>CCP</w:t>
      </w:r>
      <w:r w:rsidRPr="0048585E">
        <w:t xml:space="preserve">“), které jsou uveřejněny na webových stránkách </w:t>
      </w:r>
      <w:r w:rsidR="000C2A53">
        <w:t>Zadavatel</w:t>
      </w:r>
      <w:r>
        <w:t>e</w:t>
      </w:r>
      <w:r w:rsidRPr="0048585E">
        <w:t>, zejména s Kodexem CCP</w:t>
      </w:r>
      <w:r w:rsidR="00C752BD">
        <w:t>,</w:t>
      </w:r>
      <w:r w:rsidRPr="0048585E">
        <w:t xml:space="preserve"> a zavazují se tyto zásady po dobu trvání smluvního vztahu dodržovat. Každá ze </w:t>
      </w:r>
      <w:r>
        <w:t>S</w:t>
      </w:r>
      <w:r w:rsidRPr="0048585E">
        <w:t xml:space="preserve">mluvních stran se zavazuje, že bude jednat a přijme opatření tak, aby nevzniklo důvodné podezření na spáchání trestného činu či k jeho spáchání, tj. tak, aby kterékoli ze </w:t>
      </w:r>
      <w:r>
        <w:t>S</w:t>
      </w:r>
      <w:r w:rsidRPr="0048585E">
        <w:t>mluvních stran nemohla být přičtena odpovědnost podle zá</w:t>
      </w:r>
      <w:r>
        <w:t>kona</w:t>
      </w:r>
      <w:r w:rsidRPr="0048585E">
        <w:t>. č. 418/2011 Sb.,</w:t>
      </w:r>
      <w:r>
        <w:t xml:space="preserve"> o trestní odpovědnosti právnických osob a řízení proti nim,</w:t>
      </w:r>
      <w:r w:rsidRPr="0048585E">
        <w:t xml:space="preserve"> nebo nevznikla trestní odpovědnost jednajících osob podle zák. č. 40/2009 Sb.</w:t>
      </w:r>
      <w:r>
        <w:t>, trestní zákoník.</w:t>
      </w:r>
    </w:p>
    <w:p w14:paraId="228AC675" w14:textId="77777777" w:rsidR="004E33FD" w:rsidRDefault="004E33FD" w:rsidP="004E33FD">
      <w:pPr>
        <w:pStyle w:val="SML11"/>
      </w:pPr>
      <w:r>
        <w:t>Smlouva nebo právní vztah z ní vzniklý mohou být měněny dohodou Smluvních stran pouze v písemné formě; podpisy Smluvních stran musí být na jedné listině. Jednostranné právní jednání, kterým se mění nebo zaniká tato Smlouva nebo právní vztah z ní vzniklý jinak než splněním závazků ze Smlouvy, musí být učiněno ve formě předpokládané právním řádem, alespoň však v prosté písemné formě.</w:t>
      </w:r>
    </w:p>
    <w:p w14:paraId="16E151F7" w14:textId="2F7C9890" w:rsidR="004E33FD" w:rsidRDefault="004E33FD" w:rsidP="004E33FD">
      <w:pPr>
        <w:pStyle w:val="SML11"/>
      </w:pPr>
      <w:r w:rsidRPr="00B07064">
        <w:t>Pokud vyjde najevo, že některé ustanovení této Smlouvy je nebo se stalo neplatným, v 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 uvedených případech zavazují k poskytnutí si vzájemné součinnosti a k učinění příslušných právních jednání za účelem nahrazení neplatného, neúčinného nebo neaplikovatelného ustanovení ustanovením jiným tak, aby byl zachován a naplněn účel této Smlouvy.</w:t>
      </w:r>
    </w:p>
    <w:p w14:paraId="7219F0EC" w14:textId="77777777" w:rsidR="004E33FD" w:rsidRPr="009445CA" w:rsidRDefault="004E33FD" w:rsidP="004E33FD">
      <w:pPr>
        <w:pStyle w:val="SML11"/>
      </w:pPr>
      <w:r w:rsidRPr="009445CA">
        <w:t>Žádná ze Smluvních stran nesmí bez předchozího písemného souhlasu druhé Smluvní strany postoupit Smlouvu, jednotlivý závazek ze Smlouvy ani pohledávky vzniklé v souvislosti s touto Smlouvou na jiné osoby.</w:t>
      </w:r>
    </w:p>
    <w:p w14:paraId="683C725C" w14:textId="77777777" w:rsidR="004E33FD" w:rsidRDefault="004E33FD" w:rsidP="004E33FD">
      <w:pPr>
        <w:pStyle w:val="SML11"/>
      </w:pPr>
      <w:r>
        <w:t xml:space="preserve">Smluvní strany se dohodly, že rozhodným právem pro tuto Smlouvu nebo právní vztahy, </w:t>
      </w:r>
      <w:r w:rsidRPr="00B07064">
        <w:t xml:space="preserve">které vznikly v souvislosti s touto Smlouvou (včetně závazků k náhradě </w:t>
      </w:r>
      <w:r>
        <w:t>újmy</w:t>
      </w:r>
      <w:r w:rsidRPr="00B07064">
        <w:t xml:space="preserve"> vzniklé porušením povinností dle této Smlouvy nebo k vydání bezdůvodného obohacení)</w:t>
      </w:r>
      <w:r>
        <w:t>, je právní řád České republiky (s výjimkou kolizních norem mezinárodního práva soukromého).</w:t>
      </w:r>
    </w:p>
    <w:p w14:paraId="59F5A64D" w14:textId="71FC3186" w:rsidR="004E33FD" w:rsidRDefault="004E33FD" w:rsidP="004E33FD">
      <w:pPr>
        <w:pStyle w:val="SML11"/>
      </w:pPr>
      <w:r w:rsidRPr="00B07064">
        <w:lastRenderedPageBreak/>
        <w:t xml:space="preserve">K rozhodování sporů týkajících se závazků z této Smlouvy nebo týkajících se právních vztahů, které vznikly v souvislosti s touto Smlouvou (včetně závazků k náhradě </w:t>
      </w:r>
      <w:r>
        <w:t>újmy</w:t>
      </w:r>
      <w:r w:rsidRPr="00B07064">
        <w:t xml:space="preserve"> vzniklé porušením povinností dle této Smlouvy nebo k vydání bezdůvodného obohacení), jsou pravomocné soudy České republiky. Pravomoc jiných soudů se nepřipouští.</w:t>
      </w:r>
    </w:p>
    <w:p w14:paraId="688693EC" w14:textId="77777777" w:rsidR="00045D33" w:rsidRDefault="00FB146B" w:rsidP="00045D33">
      <w:pPr>
        <w:pStyle w:val="SML11"/>
      </w:pPr>
      <w:r w:rsidRPr="00144C8E">
        <w:t xml:space="preserve">Smluvní strany prohlašují, že skutečnosti uvedené </w:t>
      </w:r>
      <w:r w:rsidR="00045D33">
        <w:t xml:space="preserve">v </w:t>
      </w:r>
      <w:r w:rsidR="004E33FD">
        <w:t>této Smlouvě</w:t>
      </w:r>
      <w:r w:rsidRPr="00144C8E">
        <w:t xml:space="preserve"> nepovažují za obchodní tajemství ve smyslu § 504 zákona č.</w:t>
      </w:r>
      <w:r w:rsidR="008C44F0">
        <w:t> </w:t>
      </w:r>
      <w:r w:rsidRPr="00144C8E">
        <w:t>89/2012</w:t>
      </w:r>
      <w:r w:rsidR="00E33F1F">
        <w:t> </w:t>
      </w:r>
      <w:r w:rsidRPr="00144C8E">
        <w:t>Sb., občanský zákoník, a udělují svolení k jejich užití a zveřejnění bez stanovení jakýchkoli dalších podmínek.</w:t>
      </w:r>
    </w:p>
    <w:p w14:paraId="164876E4" w14:textId="1DACDECE" w:rsidR="00FB146B" w:rsidRPr="00144C8E" w:rsidRDefault="00FB146B" w:rsidP="00343FFE">
      <w:pPr>
        <w:pStyle w:val="SML11"/>
      </w:pPr>
      <w:r w:rsidRPr="00144C8E">
        <w:t>Přílohou</w:t>
      </w:r>
      <w:r w:rsidR="004E33FD">
        <w:t xml:space="preserve"> této</w:t>
      </w:r>
      <w:r w:rsidRPr="00144C8E">
        <w:t xml:space="preserve"> </w:t>
      </w:r>
      <w:r w:rsidR="004E33FD">
        <w:t>Smlouvy</w:t>
      </w:r>
      <w:r w:rsidR="00451E67">
        <w:t xml:space="preserve"> a její nedílnou součástí</w:t>
      </w:r>
      <w:r w:rsidR="004E33FD" w:rsidRPr="00144C8E">
        <w:t xml:space="preserve"> </w:t>
      </w:r>
      <w:r w:rsidRPr="00144C8E">
        <w:t>je</w:t>
      </w:r>
      <w:r w:rsidR="00045D33">
        <w:t xml:space="preserve"> </w:t>
      </w:r>
      <w:r w:rsidR="00A2323C">
        <w:t>d</w:t>
      </w:r>
      <w:r w:rsidR="00045D33">
        <w:t xml:space="preserve">okument </w:t>
      </w:r>
      <w:r w:rsidR="00343FFE" w:rsidRPr="00343FFE">
        <w:t>Příloha č. 6 ZD</w:t>
      </w:r>
      <w:r w:rsidR="00343FFE">
        <w:t xml:space="preserve"> </w:t>
      </w:r>
      <w:r w:rsidR="00343FFE" w:rsidRPr="00343FFE">
        <w:t>Rámcové podmínky konání Praktických testů</w:t>
      </w:r>
      <w:r w:rsidR="00451E67">
        <w:t>, a to bez ohledu na skutečnost, zda bude k této Smlouvě fyzicky či elektronicky připojen, což Smluvní strany svým podpisem berou na vědomí</w:t>
      </w:r>
      <w:r w:rsidR="00343FFE">
        <w:t>.</w:t>
      </w:r>
      <w:r w:rsidR="00045D33">
        <w:t xml:space="preserve"> </w:t>
      </w:r>
    </w:p>
    <w:p w14:paraId="03AA5A0F" w14:textId="4334C838" w:rsidR="00D73B53" w:rsidRPr="00451E67" w:rsidRDefault="004E33FD" w:rsidP="006423DB">
      <w:pPr>
        <w:pStyle w:val="SML11"/>
        <w:spacing w:after="0"/>
      </w:pPr>
      <w:r w:rsidRPr="00451E67">
        <w:t>Tato Smlouva</w:t>
      </w:r>
      <w:r w:rsidR="00FB146B" w:rsidRPr="00451E67">
        <w:t xml:space="preserve"> je sepsán</w:t>
      </w:r>
      <w:r w:rsidRPr="00451E67">
        <w:t>a</w:t>
      </w:r>
      <w:r w:rsidR="00FB146B" w:rsidRPr="00451E67">
        <w:t xml:space="preserve"> ve </w:t>
      </w:r>
      <w:r w:rsidR="1B0FD903" w:rsidRPr="00451E67">
        <w:t xml:space="preserve">3 </w:t>
      </w:r>
      <w:r w:rsidR="00FB146B" w:rsidRPr="00451E67">
        <w:t xml:space="preserve">vyhotoveních. </w:t>
      </w:r>
      <w:r w:rsidR="44CBF951" w:rsidRPr="00451E67">
        <w:t xml:space="preserve">Zadavatel </w:t>
      </w:r>
      <w:r w:rsidR="00FB146B" w:rsidRPr="00451E67">
        <w:t xml:space="preserve">obdrží po </w:t>
      </w:r>
      <w:r w:rsidR="6A13407E" w:rsidRPr="00451E67">
        <w:t xml:space="preserve">dvou a Dodavatel po </w:t>
      </w:r>
      <w:r w:rsidR="00FB146B" w:rsidRPr="00451E67">
        <w:t>jednom vyhotovení.</w:t>
      </w:r>
      <w:r w:rsidR="4D572823" w:rsidRPr="00451E67">
        <w:t xml:space="preserve"> </w:t>
      </w:r>
      <w:r w:rsidR="00451E67" w:rsidRPr="00451E67">
        <w:t>Bude-li Smlouva uzavírána za využití elektronických prostředků, postačí jedno její vyhotovení v elektronické podobě, na němž budou zaznamenány uznávané elektronické podpisy oprávněných zástupců obou Smluvních stran.</w:t>
      </w:r>
    </w:p>
    <w:tbl>
      <w:tblPr>
        <w:tblStyle w:val="Mkatabulky"/>
        <w:tblpPr w:leftFromText="141" w:rightFromText="141" w:vertAnchor="text" w:horzAnchor="margin" w:tblpX="-284" w:tblpY="2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58748C" w:rsidRPr="00466C1A" w14:paraId="45B72768" w14:textId="77777777" w:rsidTr="00831B99">
        <w:trPr>
          <w:trHeight w:val="635"/>
        </w:trPr>
        <w:tc>
          <w:tcPr>
            <w:tcW w:w="4819" w:type="dxa"/>
          </w:tcPr>
          <w:p w14:paraId="79C1826F" w14:textId="77777777" w:rsidR="0058748C" w:rsidRDefault="0058748C" w:rsidP="00831B99">
            <w:pPr>
              <w:keepNext/>
              <w:keepLines/>
              <w:adjustRightInd w:val="0"/>
              <w:spacing w:after="0"/>
              <w:jc w:val="center"/>
              <w:textAlignment w:val="baseline"/>
              <w:outlineLvl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V Praze dne </w:t>
            </w:r>
            <w:r w:rsidRPr="004468A7">
              <w:rPr>
                <w:rFonts w:asciiTheme="minorHAnsi" w:hAnsiTheme="minorHAnsi" w:cs="Arial"/>
                <w:b/>
              </w:rPr>
              <w:t>_________________</w:t>
            </w:r>
          </w:p>
          <w:p w14:paraId="27EDFBE4" w14:textId="73936C11" w:rsidR="00831B99" w:rsidRPr="00FD0596" w:rsidRDefault="00831B99" w:rsidP="00831B99">
            <w:pPr>
              <w:keepNext/>
              <w:keepLines/>
              <w:adjustRightInd w:val="0"/>
              <w:spacing w:before="0"/>
              <w:jc w:val="center"/>
              <w:textAlignment w:val="baseline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(datum případně dle el. podpisu)</w:t>
            </w:r>
          </w:p>
        </w:tc>
        <w:tc>
          <w:tcPr>
            <w:tcW w:w="4962" w:type="dxa"/>
          </w:tcPr>
          <w:p w14:paraId="15AAA1EA" w14:textId="282FDB47" w:rsidR="0058748C" w:rsidRDefault="0058748C" w:rsidP="00831B99">
            <w:pPr>
              <w:keepNext/>
              <w:keepLines/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V </w:t>
            </w:r>
            <w:r w:rsidR="00831B99" w:rsidRPr="00831B99">
              <w:rPr>
                <w:rFonts w:asciiTheme="minorHAnsi" w:hAnsiTheme="minorHAnsi" w:cs="Arial"/>
                <w:b/>
                <w:highlight w:val="yellow"/>
              </w:rPr>
              <w:t>______________</w:t>
            </w:r>
            <w:r>
              <w:rPr>
                <w:rFonts w:asciiTheme="minorHAnsi" w:hAnsiTheme="minorHAnsi" w:cs="Arial"/>
                <w:b/>
              </w:rPr>
              <w:t xml:space="preserve"> dne </w:t>
            </w:r>
            <w:r w:rsidRPr="00831B99">
              <w:rPr>
                <w:rFonts w:asciiTheme="minorHAnsi" w:hAnsiTheme="minorHAnsi" w:cs="Arial"/>
                <w:b/>
                <w:highlight w:val="yellow"/>
              </w:rPr>
              <w:t>_________________</w:t>
            </w:r>
          </w:p>
          <w:p w14:paraId="6FE52B33" w14:textId="15BC4AEF" w:rsidR="00831B99" w:rsidRPr="00FD0596" w:rsidRDefault="00831B99" w:rsidP="00831B99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(datum případně dle el. podpisu)</w:t>
            </w:r>
          </w:p>
        </w:tc>
      </w:tr>
      <w:tr w:rsidR="0058748C" w:rsidRPr="00466C1A" w14:paraId="0664A380" w14:textId="77777777" w:rsidTr="00831B99">
        <w:trPr>
          <w:trHeight w:val="794"/>
        </w:trPr>
        <w:tc>
          <w:tcPr>
            <w:tcW w:w="4819" w:type="dxa"/>
            <w:vAlign w:val="bottom"/>
          </w:tcPr>
          <w:p w14:paraId="56167E68" w14:textId="7AF0C78F" w:rsidR="00800AF9" w:rsidRDefault="00800AF9" w:rsidP="007A440E">
            <w:pPr>
              <w:keepNext/>
              <w:keepLines/>
              <w:ind w:left="-104"/>
              <w:jc w:val="center"/>
              <w:rPr>
                <w:rFonts w:asciiTheme="minorHAnsi" w:hAnsiTheme="minorHAnsi" w:cstheme="minorHAnsi"/>
                <w:b/>
              </w:rPr>
            </w:pPr>
          </w:p>
          <w:p w14:paraId="62375FB5" w14:textId="77777777" w:rsidR="00800AF9" w:rsidRPr="00451E67" w:rsidRDefault="00800AF9" w:rsidP="00451E67">
            <w:pPr>
              <w:keepNext/>
              <w:keepLines/>
              <w:rPr>
                <w:rFonts w:asciiTheme="minorHAnsi" w:hAnsiTheme="minorHAnsi" w:cstheme="minorHAnsi"/>
                <w:b/>
                <w:sz w:val="14"/>
                <w:szCs w:val="10"/>
              </w:rPr>
            </w:pPr>
          </w:p>
          <w:p w14:paraId="1E6F9F91" w14:textId="37FC3984" w:rsidR="0058748C" w:rsidRPr="006B253C" w:rsidRDefault="0058748C" w:rsidP="007A440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6B253C">
              <w:rPr>
                <w:rFonts w:asciiTheme="minorHAnsi" w:hAnsiTheme="minorHAnsi" w:cstheme="minorHAnsi"/>
                <w:b/>
              </w:rPr>
              <w:t>__________________________________</w:t>
            </w:r>
          </w:p>
        </w:tc>
        <w:tc>
          <w:tcPr>
            <w:tcW w:w="4962" w:type="dxa"/>
            <w:vAlign w:val="bottom"/>
          </w:tcPr>
          <w:p w14:paraId="3B494EE6" w14:textId="77777777" w:rsidR="0058748C" w:rsidRPr="006B253C" w:rsidRDefault="0058748C" w:rsidP="007A440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6B253C">
              <w:rPr>
                <w:rFonts w:asciiTheme="minorHAnsi" w:hAnsiTheme="minorHAnsi" w:cstheme="minorHAnsi"/>
                <w:b/>
              </w:rPr>
              <w:t>__________________________________</w:t>
            </w:r>
          </w:p>
        </w:tc>
      </w:tr>
      <w:tr w:rsidR="0058748C" w:rsidRPr="00466C1A" w14:paraId="6A59825F" w14:textId="77777777" w:rsidTr="00831B99">
        <w:trPr>
          <w:trHeight w:val="70"/>
        </w:trPr>
        <w:tc>
          <w:tcPr>
            <w:tcW w:w="4819" w:type="dxa"/>
          </w:tcPr>
          <w:p w14:paraId="5DE12616" w14:textId="67CD5A66" w:rsidR="0058748C" w:rsidRDefault="0058748C" w:rsidP="007A44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6B253C">
              <w:rPr>
                <w:rFonts w:asciiTheme="minorHAnsi" w:hAnsiTheme="minorHAnsi"/>
                <w:b/>
              </w:rPr>
              <w:t>Technická správa komunikací hl. m. Prahy</w:t>
            </w:r>
            <w:r>
              <w:rPr>
                <w:rFonts w:asciiTheme="minorHAnsi" w:hAnsiTheme="minorHAnsi"/>
                <w:b/>
              </w:rPr>
              <w:t>,</w:t>
            </w:r>
            <w:r w:rsidR="0085291F">
              <w:rPr>
                <w:rFonts w:asciiTheme="minorHAnsi" w:hAnsiTheme="minorHAnsi"/>
                <w:b/>
              </w:rPr>
              <w:t> </w:t>
            </w:r>
            <w:r>
              <w:rPr>
                <w:rFonts w:asciiTheme="minorHAnsi" w:hAnsiTheme="minorHAnsi"/>
                <w:b/>
              </w:rPr>
              <w:t xml:space="preserve">a.s., </w:t>
            </w:r>
            <w:r w:rsidR="000C2A53">
              <w:rPr>
                <w:rFonts w:asciiTheme="minorHAnsi" w:hAnsiTheme="minorHAnsi"/>
                <w:b/>
              </w:rPr>
              <w:t>Zadavatel</w:t>
            </w:r>
          </w:p>
          <w:p w14:paraId="217F09DD" w14:textId="3BE1A4BA" w:rsidR="00A077AF" w:rsidRPr="002C00D6" w:rsidRDefault="5C5CBAB7" w:rsidP="00A077AF">
            <w:pPr>
              <w:keepNext/>
              <w:keepLines/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91729B">
              <w:t>Mgr</w:t>
            </w:r>
            <w:r w:rsidR="00343FFE" w:rsidRPr="0091729B">
              <w:t>.</w:t>
            </w:r>
            <w:r w:rsidRPr="0091729B">
              <w:t xml:space="preserve"> </w:t>
            </w:r>
            <w:r w:rsidR="00831B99" w:rsidRPr="0091729B">
              <w:t xml:space="preserve">Jiří Šimon, vedoucí zakázkového oddělení, na základě </w:t>
            </w:r>
            <w:r w:rsidR="00A077AF">
              <w:t>pověření</w:t>
            </w:r>
          </w:p>
        </w:tc>
        <w:tc>
          <w:tcPr>
            <w:tcW w:w="4962" w:type="dxa"/>
          </w:tcPr>
          <w:p w14:paraId="164EDBF8" w14:textId="7AAE7268" w:rsidR="00AC68E3" w:rsidRPr="006B253C" w:rsidRDefault="00AC68E3" w:rsidP="007A44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</w:rPr>
            </w:pPr>
          </w:p>
        </w:tc>
      </w:tr>
      <w:tr w:rsidR="00AC68E3" w:rsidRPr="00466C1A" w14:paraId="4C428BDD" w14:textId="77777777" w:rsidTr="00831B99">
        <w:trPr>
          <w:trHeight w:val="1715"/>
        </w:trPr>
        <w:tc>
          <w:tcPr>
            <w:tcW w:w="4819" w:type="dxa"/>
            <w:vAlign w:val="bottom"/>
          </w:tcPr>
          <w:p w14:paraId="6401506F" w14:textId="19E1E947" w:rsidR="00B533FF" w:rsidRDefault="00B533FF" w:rsidP="007A440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0ABF0351" w14:textId="77777777" w:rsidR="00831B99" w:rsidRPr="00451E67" w:rsidRDefault="00831B99" w:rsidP="007A440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54F9026B" w14:textId="372033FA" w:rsidR="00AC68E3" w:rsidRPr="006B253C" w:rsidRDefault="00AC68E3" w:rsidP="007A440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  <w:vAlign w:val="bottom"/>
          </w:tcPr>
          <w:p w14:paraId="6FDEAA92" w14:textId="77777777" w:rsidR="00AC68E3" w:rsidRPr="006B253C" w:rsidRDefault="00AC68E3" w:rsidP="007A440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6B253C">
              <w:rPr>
                <w:rFonts w:asciiTheme="minorHAnsi" w:hAnsiTheme="minorHAnsi" w:cstheme="minorHAnsi"/>
                <w:b/>
              </w:rPr>
              <w:t>__________________________________</w:t>
            </w:r>
          </w:p>
        </w:tc>
      </w:tr>
      <w:tr w:rsidR="00AC68E3" w:rsidRPr="00466C1A" w14:paraId="6311E9F6" w14:textId="77777777" w:rsidTr="00831B99">
        <w:trPr>
          <w:trHeight w:val="70"/>
        </w:trPr>
        <w:tc>
          <w:tcPr>
            <w:tcW w:w="4819" w:type="dxa"/>
          </w:tcPr>
          <w:p w14:paraId="041F508B" w14:textId="7C3C79F9" w:rsidR="00AC68E3" w:rsidRPr="006B253C" w:rsidRDefault="00AC68E3" w:rsidP="00831B99">
            <w:pPr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962" w:type="dxa"/>
          </w:tcPr>
          <w:p w14:paraId="786F5B63" w14:textId="1167F785" w:rsidR="00AC68E3" w:rsidRPr="006B253C" w:rsidRDefault="00AC68E3" w:rsidP="007A44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</w:rPr>
            </w:pPr>
          </w:p>
        </w:tc>
      </w:tr>
    </w:tbl>
    <w:p w14:paraId="722FD594" w14:textId="4A48BF4E" w:rsidR="00AC68E3" w:rsidRPr="001C0010" w:rsidRDefault="00AC68E3" w:rsidP="006423DB">
      <w:pPr>
        <w:widowControl w:val="0"/>
        <w:tabs>
          <w:tab w:val="left" w:pos="2765"/>
          <w:tab w:val="center" w:pos="4536"/>
        </w:tabs>
      </w:pPr>
    </w:p>
    <w:sectPr w:rsidR="00AC68E3" w:rsidRPr="001C0010" w:rsidSect="006423DB">
      <w:footerReference w:type="default" r:id="rId9"/>
      <w:footerReference w:type="first" r:id="rId10"/>
      <w:pgSz w:w="11906" w:h="16838"/>
      <w:pgMar w:top="1134" w:right="1417" w:bottom="1418" w:left="1417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8C82" w14:textId="77777777" w:rsidR="00976233" w:rsidRDefault="00976233" w:rsidP="009617AB">
      <w:pPr>
        <w:spacing w:before="0" w:after="0"/>
      </w:pPr>
      <w:r>
        <w:separator/>
      </w:r>
    </w:p>
  </w:endnote>
  <w:endnote w:type="continuationSeparator" w:id="0">
    <w:p w14:paraId="519FA537" w14:textId="77777777" w:rsidR="00976233" w:rsidRDefault="00976233" w:rsidP="009617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62449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334604287"/>
          <w:docPartObj>
            <w:docPartGallery w:val="Page Numbers (Top of Page)"/>
            <w:docPartUnique/>
          </w:docPartObj>
        </w:sdtPr>
        <w:sdtEndPr/>
        <w:sdtContent>
          <w:p w14:paraId="6441D8F6" w14:textId="77777777" w:rsidR="006F5D7A" w:rsidRDefault="006F5D7A">
            <w:pPr>
              <w:pStyle w:val="Zpat"/>
              <w:jc w:val="right"/>
              <w:rPr>
                <w:sz w:val="20"/>
              </w:rPr>
            </w:pPr>
          </w:p>
          <w:p w14:paraId="49C1C6B2" w14:textId="72BE450D" w:rsidR="00FB146B" w:rsidRDefault="00FB146B" w:rsidP="00176A21">
            <w:pPr>
              <w:pStyle w:val="Zpat"/>
              <w:jc w:val="right"/>
            </w:pPr>
            <w:r w:rsidRPr="001C0010">
              <w:t xml:space="preserve">Stránka </w:t>
            </w:r>
            <w:r w:rsidRPr="001C0010">
              <w:rPr>
                <w:b/>
                <w:bCs/>
                <w:szCs w:val="24"/>
              </w:rPr>
              <w:fldChar w:fldCharType="begin"/>
            </w:r>
            <w:r w:rsidRPr="001C0010">
              <w:rPr>
                <w:b/>
                <w:bCs/>
              </w:rPr>
              <w:instrText>PAGE</w:instrText>
            </w:r>
            <w:r w:rsidRPr="001C0010">
              <w:rPr>
                <w:b/>
                <w:bCs/>
                <w:szCs w:val="24"/>
              </w:rPr>
              <w:fldChar w:fldCharType="separate"/>
            </w:r>
            <w:r w:rsidR="00A079E2">
              <w:rPr>
                <w:b/>
                <w:bCs/>
                <w:noProof/>
              </w:rPr>
              <w:t>8</w:t>
            </w:r>
            <w:r w:rsidRPr="001C0010">
              <w:rPr>
                <w:b/>
                <w:bCs/>
                <w:szCs w:val="24"/>
              </w:rPr>
              <w:fldChar w:fldCharType="end"/>
            </w:r>
            <w:r w:rsidRPr="001C0010">
              <w:t xml:space="preserve"> z </w:t>
            </w:r>
            <w:r w:rsidRPr="001C0010">
              <w:rPr>
                <w:b/>
                <w:bCs/>
                <w:szCs w:val="24"/>
              </w:rPr>
              <w:fldChar w:fldCharType="begin"/>
            </w:r>
            <w:r w:rsidRPr="001C0010">
              <w:rPr>
                <w:b/>
                <w:bCs/>
              </w:rPr>
              <w:instrText>NUMPAGES</w:instrText>
            </w:r>
            <w:r w:rsidRPr="001C0010">
              <w:rPr>
                <w:b/>
                <w:bCs/>
                <w:szCs w:val="24"/>
              </w:rPr>
              <w:fldChar w:fldCharType="separate"/>
            </w:r>
            <w:r w:rsidR="00A079E2">
              <w:rPr>
                <w:b/>
                <w:bCs/>
                <w:noProof/>
              </w:rPr>
              <w:t>9</w:t>
            </w:r>
            <w:r w:rsidRPr="001C00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F24A" w14:textId="77777777" w:rsidR="00FB146B" w:rsidRDefault="00FB146B" w:rsidP="00C92387">
    <w:pPr>
      <w:pStyle w:val="Zpat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691B" w14:textId="77777777" w:rsidR="00976233" w:rsidRDefault="00976233" w:rsidP="009617AB">
      <w:pPr>
        <w:spacing w:before="0" w:after="0"/>
      </w:pPr>
      <w:r>
        <w:separator/>
      </w:r>
    </w:p>
  </w:footnote>
  <w:footnote w:type="continuationSeparator" w:id="0">
    <w:p w14:paraId="4C6E9F8F" w14:textId="77777777" w:rsidR="00976233" w:rsidRDefault="00976233" w:rsidP="009617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9E"/>
    <w:multiLevelType w:val="hybridMultilevel"/>
    <w:tmpl w:val="FA6A631C"/>
    <w:lvl w:ilvl="0" w:tplc="7E609F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E1F"/>
    <w:multiLevelType w:val="hybridMultilevel"/>
    <w:tmpl w:val="179644F6"/>
    <w:lvl w:ilvl="0" w:tplc="C0B2F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001FF8"/>
    <w:multiLevelType w:val="hybridMultilevel"/>
    <w:tmpl w:val="A410A486"/>
    <w:lvl w:ilvl="0" w:tplc="9DD0C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7F65"/>
    <w:multiLevelType w:val="hybridMultilevel"/>
    <w:tmpl w:val="3160A500"/>
    <w:lvl w:ilvl="0" w:tplc="800492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30DC7"/>
    <w:multiLevelType w:val="hybridMultilevel"/>
    <w:tmpl w:val="B6489CAE"/>
    <w:lvl w:ilvl="0" w:tplc="20A019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B58F9"/>
    <w:multiLevelType w:val="hybridMultilevel"/>
    <w:tmpl w:val="ECF88A2C"/>
    <w:lvl w:ilvl="0" w:tplc="89E49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417D08"/>
    <w:multiLevelType w:val="hybridMultilevel"/>
    <w:tmpl w:val="0114BC26"/>
    <w:lvl w:ilvl="0" w:tplc="04050019">
      <w:start w:val="1"/>
      <w:numFmt w:val="lowerLetter"/>
      <w:lvlText w:val="%1."/>
      <w:lvlJc w:val="left"/>
      <w:pPr>
        <w:ind w:left="2214" w:hanging="360"/>
      </w:p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53441855"/>
    <w:multiLevelType w:val="hybridMultilevel"/>
    <w:tmpl w:val="01D4A2EE"/>
    <w:lvl w:ilvl="0" w:tplc="5456B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0DF"/>
    <w:multiLevelType w:val="multilevel"/>
    <w:tmpl w:val="BD9220D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2tTS3NDMwNTA1NjBX0lEKTi0uzszPAymwqAUAU75lwSwAAAA="/>
  </w:docVars>
  <w:rsids>
    <w:rsidRoot w:val="00657158"/>
    <w:rsid w:val="00011938"/>
    <w:rsid w:val="00017479"/>
    <w:rsid w:val="0002343E"/>
    <w:rsid w:val="00034B04"/>
    <w:rsid w:val="0003688A"/>
    <w:rsid w:val="000439CE"/>
    <w:rsid w:val="00045D33"/>
    <w:rsid w:val="000700AD"/>
    <w:rsid w:val="00086578"/>
    <w:rsid w:val="000B204B"/>
    <w:rsid w:val="000B2281"/>
    <w:rsid w:val="000B6F5A"/>
    <w:rsid w:val="000C2A53"/>
    <w:rsid w:val="000C5D67"/>
    <w:rsid w:val="000D16AE"/>
    <w:rsid w:val="000D5BF9"/>
    <w:rsid w:val="000E00FF"/>
    <w:rsid w:val="000E115C"/>
    <w:rsid w:val="000E17BE"/>
    <w:rsid w:val="000E2759"/>
    <w:rsid w:val="000F1598"/>
    <w:rsid w:val="00102D5A"/>
    <w:rsid w:val="001053FC"/>
    <w:rsid w:val="00106FCA"/>
    <w:rsid w:val="00112C71"/>
    <w:rsid w:val="00114383"/>
    <w:rsid w:val="001277A9"/>
    <w:rsid w:val="00130C82"/>
    <w:rsid w:val="001313FC"/>
    <w:rsid w:val="00140567"/>
    <w:rsid w:val="00144C8E"/>
    <w:rsid w:val="00147410"/>
    <w:rsid w:val="00153373"/>
    <w:rsid w:val="0016121C"/>
    <w:rsid w:val="00165E92"/>
    <w:rsid w:val="00174868"/>
    <w:rsid w:val="001750C2"/>
    <w:rsid w:val="0017638A"/>
    <w:rsid w:val="00176A21"/>
    <w:rsid w:val="001937F8"/>
    <w:rsid w:val="001B3875"/>
    <w:rsid w:val="001B45ED"/>
    <w:rsid w:val="001B5AD6"/>
    <w:rsid w:val="001B695A"/>
    <w:rsid w:val="001C0010"/>
    <w:rsid w:val="001C2C93"/>
    <w:rsid w:val="001D460A"/>
    <w:rsid w:val="001E0CC0"/>
    <w:rsid w:val="001E12C3"/>
    <w:rsid w:val="001E389B"/>
    <w:rsid w:val="001F34D7"/>
    <w:rsid w:val="001F3CD2"/>
    <w:rsid w:val="00220079"/>
    <w:rsid w:val="00220348"/>
    <w:rsid w:val="002276EA"/>
    <w:rsid w:val="00227CCA"/>
    <w:rsid w:val="00237769"/>
    <w:rsid w:val="002403D0"/>
    <w:rsid w:val="00253D7E"/>
    <w:rsid w:val="00256883"/>
    <w:rsid w:val="00263F3F"/>
    <w:rsid w:val="0026729C"/>
    <w:rsid w:val="002675C4"/>
    <w:rsid w:val="002708C1"/>
    <w:rsid w:val="00272BAF"/>
    <w:rsid w:val="00272C39"/>
    <w:rsid w:val="00294587"/>
    <w:rsid w:val="0029771F"/>
    <w:rsid w:val="002A0039"/>
    <w:rsid w:val="002A5059"/>
    <w:rsid w:val="002B1FE2"/>
    <w:rsid w:val="002B7B28"/>
    <w:rsid w:val="002C00D6"/>
    <w:rsid w:val="002D00D8"/>
    <w:rsid w:val="002D19DC"/>
    <w:rsid w:val="002D2315"/>
    <w:rsid w:val="002E4E1E"/>
    <w:rsid w:val="002F4070"/>
    <w:rsid w:val="0030389D"/>
    <w:rsid w:val="00303976"/>
    <w:rsid w:val="00310BAD"/>
    <w:rsid w:val="00321360"/>
    <w:rsid w:val="00331C43"/>
    <w:rsid w:val="00341A57"/>
    <w:rsid w:val="00341B6A"/>
    <w:rsid w:val="00343FFE"/>
    <w:rsid w:val="003547C5"/>
    <w:rsid w:val="0036604A"/>
    <w:rsid w:val="00396365"/>
    <w:rsid w:val="003C5D64"/>
    <w:rsid w:val="003D48D8"/>
    <w:rsid w:val="003E2420"/>
    <w:rsid w:val="003E2656"/>
    <w:rsid w:val="003E6C77"/>
    <w:rsid w:val="003F39B0"/>
    <w:rsid w:val="00400EF0"/>
    <w:rsid w:val="00403A6C"/>
    <w:rsid w:val="00404504"/>
    <w:rsid w:val="00411796"/>
    <w:rsid w:val="00413D56"/>
    <w:rsid w:val="00413DD6"/>
    <w:rsid w:val="004143B5"/>
    <w:rsid w:val="0041592E"/>
    <w:rsid w:val="004315BA"/>
    <w:rsid w:val="00431EA6"/>
    <w:rsid w:val="00437785"/>
    <w:rsid w:val="004468A7"/>
    <w:rsid w:val="00447098"/>
    <w:rsid w:val="00451E67"/>
    <w:rsid w:val="004544AB"/>
    <w:rsid w:val="00455DCF"/>
    <w:rsid w:val="00456ED7"/>
    <w:rsid w:val="004575FE"/>
    <w:rsid w:val="00463850"/>
    <w:rsid w:val="00465108"/>
    <w:rsid w:val="004660FA"/>
    <w:rsid w:val="004723F6"/>
    <w:rsid w:val="0047626A"/>
    <w:rsid w:val="00476924"/>
    <w:rsid w:val="00482726"/>
    <w:rsid w:val="004978E7"/>
    <w:rsid w:val="004A34AA"/>
    <w:rsid w:val="004A5CBF"/>
    <w:rsid w:val="004D38D4"/>
    <w:rsid w:val="004D4C23"/>
    <w:rsid w:val="004E33FD"/>
    <w:rsid w:val="004E5EB4"/>
    <w:rsid w:val="005031AD"/>
    <w:rsid w:val="005036B6"/>
    <w:rsid w:val="005229D2"/>
    <w:rsid w:val="005325EF"/>
    <w:rsid w:val="00537E96"/>
    <w:rsid w:val="005430BF"/>
    <w:rsid w:val="005457ED"/>
    <w:rsid w:val="00551734"/>
    <w:rsid w:val="005623AE"/>
    <w:rsid w:val="00565F63"/>
    <w:rsid w:val="005727AA"/>
    <w:rsid w:val="00581F82"/>
    <w:rsid w:val="0058748C"/>
    <w:rsid w:val="005D23C0"/>
    <w:rsid w:val="005D3F6C"/>
    <w:rsid w:val="005E1D3A"/>
    <w:rsid w:val="005E254D"/>
    <w:rsid w:val="005F1A4F"/>
    <w:rsid w:val="005F5BF4"/>
    <w:rsid w:val="00600CBD"/>
    <w:rsid w:val="00601280"/>
    <w:rsid w:val="00601326"/>
    <w:rsid w:val="006041B0"/>
    <w:rsid w:val="0061379D"/>
    <w:rsid w:val="006176E5"/>
    <w:rsid w:val="00623138"/>
    <w:rsid w:val="00631A5D"/>
    <w:rsid w:val="00633AA9"/>
    <w:rsid w:val="006423DB"/>
    <w:rsid w:val="00657158"/>
    <w:rsid w:val="006667CA"/>
    <w:rsid w:val="00680D30"/>
    <w:rsid w:val="0068718E"/>
    <w:rsid w:val="00693269"/>
    <w:rsid w:val="00693E30"/>
    <w:rsid w:val="006970CC"/>
    <w:rsid w:val="006C0A11"/>
    <w:rsid w:val="006D2DCC"/>
    <w:rsid w:val="006D4EFA"/>
    <w:rsid w:val="006D75AF"/>
    <w:rsid w:val="006E09C1"/>
    <w:rsid w:val="006F1A1E"/>
    <w:rsid w:val="006F20F9"/>
    <w:rsid w:val="006F4C65"/>
    <w:rsid w:val="006F5D7A"/>
    <w:rsid w:val="0070208C"/>
    <w:rsid w:val="007059FA"/>
    <w:rsid w:val="00707CA2"/>
    <w:rsid w:val="00711CFE"/>
    <w:rsid w:val="007121CA"/>
    <w:rsid w:val="007360F5"/>
    <w:rsid w:val="00744B92"/>
    <w:rsid w:val="007456FC"/>
    <w:rsid w:val="007628DA"/>
    <w:rsid w:val="00765828"/>
    <w:rsid w:val="0077742B"/>
    <w:rsid w:val="00782C50"/>
    <w:rsid w:val="00792E9E"/>
    <w:rsid w:val="007A267B"/>
    <w:rsid w:val="007A440E"/>
    <w:rsid w:val="007A73D6"/>
    <w:rsid w:val="007A7ED9"/>
    <w:rsid w:val="007B1737"/>
    <w:rsid w:val="007B4CBA"/>
    <w:rsid w:val="007C74EA"/>
    <w:rsid w:val="007E1917"/>
    <w:rsid w:val="00800AF9"/>
    <w:rsid w:val="0080459C"/>
    <w:rsid w:val="0080497F"/>
    <w:rsid w:val="008052B8"/>
    <w:rsid w:val="00805EFF"/>
    <w:rsid w:val="0081611C"/>
    <w:rsid w:val="008205B0"/>
    <w:rsid w:val="00822E2D"/>
    <w:rsid w:val="008239C1"/>
    <w:rsid w:val="008256BA"/>
    <w:rsid w:val="008315E5"/>
    <w:rsid w:val="00831B99"/>
    <w:rsid w:val="00843283"/>
    <w:rsid w:val="00845405"/>
    <w:rsid w:val="0084548F"/>
    <w:rsid w:val="00850C86"/>
    <w:rsid w:val="0085291F"/>
    <w:rsid w:val="00852ACB"/>
    <w:rsid w:val="0085741C"/>
    <w:rsid w:val="00860EB8"/>
    <w:rsid w:val="00867356"/>
    <w:rsid w:val="00870322"/>
    <w:rsid w:val="00873F4D"/>
    <w:rsid w:val="00882477"/>
    <w:rsid w:val="00886ED8"/>
    <w:rsid w:val="008870E2"/>
    <w:rsid w:val="00897CBC"/>
    <w:rsid w:val="008A0B21"/>
    <w:rsid w:val="008A481B"/>
    <w:rsid w:val="008A4B85"/>
    <w:rsid w:val="008B4FB2"/>
    <w:rsid w:val="008B66F9"/>
    <w:rsid w:val="008C44F0"/>
    <w:rsid w:val="008C6218"/>
    <w:rsid w:val="008E53EA"/>
    <w:rsid w:val="00900F21"/>
    <w:rsid w:val="009113D3"/>
    <w:rsid w:val="00911E26"/>
    <w:rsid w:val="00915166"/>
    <w:rsid w:val="0091729B"/>
    <w:rsid w:val="00917507"/>
    <w:rsid w:val="00941B89"/>
    <w:rsid w:val="00950556"/>
    <w:rsid w:val="00950CEB"/>
    <w:rsid w:val="009571E1"/>
    <w:rsid w:val="009617AB"/>
    <w:rsid w:val="009645AE"/>
    <w:rsid w:val="00965FA6"/>
    <w:rsid w:val="009678B2"/>
    <w:rsid w:val="00970F0A"/>
    <w:rsid w:val="00976233"/>
    <w:rsid w:val="00984A79"/>
    <w:rsid w:val="0098735D"/>
    <w:rsid w:val="00991AA6"/>
    <w:rsid w:val="009927B0"/>
    <w:rsid w:val="00992B5B"/>
    <w:rsid w:val="009B0BFD"/>
    <w:rsid w:val="009B4AF7"/>
    <w:rsid w:val="009C05A4"/>
    <w:rsid w:val="009C0C1D"/>
    <w:rsid w:val="009C1E76"/>
    <w:rsid w:val="009C60DE"/>
    <w:rsid w:val="009C6F05"/>
    <w:rsid w:val="009E2183"/>
    <w:rsid w:val="009E592E"/>
    <w:rsid w:val="00A04827"/>
    <w:rsid w:val="00A077AF"/>
    <w:rsid w:val="00A079E2"/>
    <w:rsid w:val="00A2323C"/>
    <w:rsid w:val="00A26ECD"/>
    <w:rsid w:val="00A35467"/>
    <w:rsid w:val="00A41408"/>
    <w:rsid w:val="00A42D84"/>
    <w:rsid w:val="00A558BB"/>
    <w:rsid w:val="00A65F3E"/>
    <w:rsid w:val="00A77199"/>
    <w:rsid w:val="00A81EBA"/>
    <w:rsid w:val="00A847EF"/>
    <w:rsid w:val="00A94542"/>
    <w:rsid w:val="00A9536D"/>
    <w:rsid w:val="00AB20FD"/>
    <w:rsid w:val="00AB5244"/>
    <w:rsid w:val="00AC68E3"/>
    <w:rsid w:val="00AD5FA6"/>
    <w:rsid w:val="00AD70BE"/>
    <w:rsid w:val="00AE04DD"/>
    <w:rsid w:val="00AE3445"/>
    <w:rsid w:val="00AE42BE"/>
    <w:rsid w:val="00AE45F1"/>
    <w:rsid w:val="00AF6A2F"/>
    <w:rsid w:val="00B108F3"/>
    <w:rsid w:val="00B1225D"/>
    <w:rsid w:val="00B1755F"/>
    <w:rsid w:val="00B235C8"/>
    <w:rsid w:val="00B24CAC"/>
    <w:rsid w:val="00B31BD1"/>
    <w:rsid w:val="00B33998"/>
    <w:rsid w:val="00B42AB6"/>
    <w:rsid w:val="00B42D86"/>
    <w:rsid w:val="00B43865"/>
    <w:rsid w:val="00B5300C"/>
    <w:rsid w:val="00B533FF"/>
    <w:rsid w:val="00B56178"/>
    <w:rsid w:val="00B579FB"/>
    <w:rsid w:val="00B57F79"/>
    <w:rsid w:val="00B64C41"/>
    <w:rsid w:val="00B73DFF"/>
    <w:rsid w:val="00B87DE7"/>
    <w:rsid w:val="00BB425C"/>
    <w:rsid w:val="00BB45BB"/>
    <w:rsid w:val="00BC2BFD"/>
    <w:rsid w:val="00BC47A8"/>
    <w:rsid w:val="00BC4A71"/>
    <w:rsid w:val="00BD6833"/>
    <w:rsid w:val="00BF0636"/>
    <w:rsid w:val="00C01AEF"/>
    <w:rsid w:val="00C03FE8"/>
    <w:rsid w:val="00C11080"/>
    <w:rsid w:val="00C14BFD"/>
    <w:rsid w:val="00C235A3"/>
    <w:rsid w:val="00C26CDB"/>
    <w:rsid w:val="00C328D2"/>
    <w:rsid w:val="00C37166"/>
    <w:rsid w:val="00C429C3"/>
    <w:rsid w:val="00C5537D"/>
    <w:rsid w:val="00C5676D"/>
    <w:rsid w:val="00C637CE"/>
    <w:rsid w:val="00C72ACD"/>
    <w:rsid w:val="00C73612"/>
    <w:rsid w:val="00C752BD"/>
    <w:rsid w:val="00C767D5"/>
    <w:rsid w:val="00C92158"/>
    <w:rsid w:val="00C92387"/>
    <w:rsid w:val="00CB02F4"/>
    <w:rsid w:val="00CD2991"/>
    <w:rsid w:val="00CF502A"/>
    <w:rsid w:val="00D008E5"/>
    <w:rsid w:val="00D10A7A"/>
    <w:rsid w:val="00D10EC5"/>
    <w:rsid w:val="00D1118B"/>
    <w:rsid w:val="00D22080"/>
    <w:rsid w:val="00D3064F"/>
    <w:rsid w:val="00D308CA"/>
    <w:rsid w:val="00D311D1"/>
    <w:rsid w:val="00D46D05"/>
    <w:rsid w:val="00D52FDC"/>
    <w:rsid w:val="00D55291"/>
    <w:rsid w:val="00D60F8A"/>
    <w:rsid w:val="00D621A1"/>
    <w:rsid w:val="00D66154"/>
    <w:rsid w:val="00D73B53"/>
    <w:rsid w:val="00D74EB7"/>
    <w:rsid w:val="00D92AD7"/>
    <w:rsid w:val="00D95173"/>
    <w:rsid w:val="00DA4FCB"/>
    <w:rsid w:val="00DB1558"/>
    <w:rsid w:val="00DB24E2"/>
    <w:rsid w:val="00DB351B"/>
    <w:rsid w:val="00DD15A1"/>
    <w:rsid w:val="00DE1E6B"/>
    <w:rsid w:val="00DF1CB4"/>
    <w:rsid w:val="00E1140D"/>
    <w:rsid w:val="00E25FFF"/>
    <w:rsid w:val="00E329D9"/>
    <w:rsid w:val="00E33F1F"/>
    <w:rsid w:val="00E47568"/>
    <w:rsid w:val="00E5250F"/>
    <w:rsid w:val="00E73187"/>
    <w:rsid w:val="00E748A5"/>
    <w:rsid w:val="00E952AA"/>
    <w:rsid w:val="00EA2CCC"/>
    <w:rsid w:val="00EB0F7C"/>
    <w:rsid w:val="00EC07D3"/>
    <w:rsid w:val="00EC4002"/>
    <w:rsid w:val="00EC50BC"/>
    <w:rsid w:val="00EC5687"/>
    <w:rsid w:val="00ED4CBB"/>
    <w:rsid w:val="00EF1F93"/>
    <w:rsid w:val="00EF5488"/>
    <w:rsid w:val="00EF7581"/>
    <w:rsid w:val="00EF7672"/>
    <w:rsid w:val="00F03854"/>
    <w:rsid w:val="00F072EA"/>
    <w:rsid w:val="00F32F06"/>
    <w:rsid w:val="00F33FCB"/>
    <w:rsid w:val="00F57860"/>
    <w:rsid w:val="00F607DD"/>
    <w:rsid w:val="00F62F08"/>
    <w:rsid w:val="00F72441"/>
    <w:rsid w:val="00F77EBB"/>
    <w:rsid w:val="00F97D72"/>
    <w:rsid w:val="00FB0418"/>
    <w:rsid w:val="00FB146B"/>
    <w:rsid w:val="00FC3D92"/>
    <w:rsid w:val="00FD18E4"/>
    <w:rsid w:val="00FD1CB6"/>
    <w:rsid w:val="00FD78D2"/>
    <w:rsid w:val="00FE5AFA"/>
    <w:rsid w:val="00FF7A8C"/>
    <w:rsid w:val="0313210B"/>
    <w:rsid w:val="0439C688"/>
    <w:rsid w:val="070151D2"/>
    <w:rsid w:val="08B686FE"/>
    <w:rsid w:val="107F647B"/>
    <w:rsid w:val="14F43D23"/>
    <w:rsid w:val="17FB914F"/>
    <w:rsid w:val="1B0FD903"/>
    <w:rsid w:val="1B4B67EC"/>
    <w:rsid w:val="23D5168D"/>
    <w:rsid w:val="24E753EF"/>
    <w:rsid w:val="35F4DE00"/>
    <w:rsid w:val="3826454C"/>
    <w:rsid w:val="388604EB"/>
    <w:rsid w:val="3D3A3909"/>
    <w:rsid w:val="435BAD7D"/>
    <w:rsid w:val="44CBF951"/>
    <w:rsid w:val="46446785"/>
    <w:rsid w:val="4D572823"/>
    <w:rsid w:val="542209E4"/>
    <w:rsid w:val="543EDC20"/>
    <w:rsid w:val="56E8A166"/>
    <w:rsid w:val="589E7ED3"/>
    <w:rsid w:val="590457D9"/>
    <w:rsid w:val="5AA0283A"/>
    <w:rsid w:val="5C5CBAB7"/>
    <w:rsid w:val="61598BAC"/>
    <w:rsid w:val="62F55C0D"/>
    <w:rsid w:val="655869BD"/>
    <w:rsid w:val="6A13407E"/>
    <w:rsid w:val="70D6BDC3"/>
    <w:rsid w:val="724AE3A8"/>
    <w:rsid w:val="74C49D3C"/>
    <w:rsid w:val="76545B70"/>
    <w:rsid w:val="77933B75"/>
    <w:rsid w:val="7895A989"/>
    <w:rsid w:val="7A8783DB"/>
    <w:rsid w:val="7AC25D72"/>
    <w:rsid w:val="7D6A59F5"/>
    <w:rsid w:val="7E3CF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AD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617AB"/>
    <w:pPr>
      <w:spacing w:before="240" w:after="120" w:line="240" w:lineRule="auto"/>
      <w:jc w:val="both"/>
    </w:pPr>
    <w:rPr>
      <w:rFonts w:ascii="Calibri" w:eastAsia="Calibri" w:hAnsi="Calibri" w:cs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7E96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1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6C77"/>
    <w:pPr>
      <w:tabs>
        <w:tab w:val="num" w:pos="1800"/>
      </w:tabs>
      <w:spacing w:before="120" w:after="60"/>
      <w:ind w:left="1728" w:hanging="648"/>
      <w:outlineLvl w:val="3"/>
    </w:pPr>
    <w:rPr>
      <w:rFonts w:eastAsia="Times New Roman"/>
      <w:bCs/>
      <w:szCs w:val="20"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link w:val="NZEV"/>
    <w:locked/>
    <w:rsid w:val="009617AB"/>
    <w:rPr>
      <w:rFonts w:ascii="Calibri Light" w:hAnsi="Calibri Light"/>
      <w:caps/>
      <w:sz w:val="40"/>
      <w:szCs w:val="32"/>
    </w:rPr>
  </w:style>
  <w:style w:type="paragraph" w:customStyle="1" w:styleId="NZEV">
    <w:name w:val="NÁZEV"/>
    <w:basedOn w:val="Normln"/>
    <w:next w:val="Normln"/>
    <w:link w:val="NZEVChar"/>
    <w:rsid w:val="009617AB"/>
    <w:pPr>
      <w:jc w:val="center"/>
    </w:pPr>
    <w:rPr>
      <w:rFonts w:ascii="Calibri Light" w:eastAsiaTheme="minorHAnsi" w:hAnsi="Calibri Light" w:cstheme="minorBidi"/>
      <w:caps/>
      <w:sz w:val="40"/>
      <w:szCs w:val="32"/>
      <w:lang w:eastAsia="en-US"/>
    </w:rPr>
  </w:style>
  <w:style w:type="character" w:styleId="Zstupntext">
    <w:name w:val="Placeholder Text"/>
    <w:basedOn w:val="Standardnpsmoodstavce"/>
    <w:uiPriority w:val="99"/>
    <w:semiHidden/>
    <w:rsid w:val="009617AB"/>
    <w:rPr>
      <w:color w:val="808080"/>
    </w:rPr>
  </w:style>
  <w:style w:type="character" w:customStyle="1" w:styleId="NormalChart">
    <w:name w:val="Normal Chart"/>
    <w:uiPriority w:val="1"/>
    <w:rsid w:val="009617AB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9617AB"/>
    <w:pPr>
      <w:numPr>
        <w:numId w:val="1"/>
      </w:numPr>
      <w:spacing w:before="240" w:after="120"/>
      <w:ind w:left="709" w:hanging="709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</w:rPr>
  </w:style>
  <w:style w:type="character" w:customStyle="1" w:styleId="SML1Char">
    <w:name w:val="!SML 1. Char"/>
    <w:basedOn w:val="Standardnpsmoodstavce"/>
    <w:link w:val="SML1"/>
    <w:rsid w:val="009617AB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9617AB"/>
    <w:pPr>
      <w:keepNext w:val="0"/>
      <w:keepLines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9617AB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9617AB"/>
    <w:pPr>
      <w:numPr>
        <w:ilvl w:val="2"/>
      </w:numPr>
    </w:pPr>
  </w:style>
  <w:style w:type="paragraph" w:customStyle="1" w:styleId="SMLi">
    <w:name w:val="!SML i."/>
    <w:basedOn w:val="SML111"/>
    <w:link w:val="SMLiChar"/>
    <w:qFormat/>
    <w:rsid w:val="009617AB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9617AB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9617AB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9617AB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qFormat/>
    <w:rsid w:val="009617AB"/>
    <w:pPr>
      <w:numPr>
        <w:ilvl w:val="0"/>
        <w:numId w:val="2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9617AB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7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17A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617AB"/>
    <w:rPr>
      <w:rFonts w:ascii="Calibri" w:eastAsia="Calibri" w:hAnsi="Calibri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7A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617AB"/>
    <w:rPr>
      <w:rFonts w:ascii="Calibri" w:eastAsia="Calibri" w:hAnsi="Calibri" w:cs="Times New Roman"/>
      <w:sz w:val="24"/>
      <w:lang w:eastAsia="cs-CZ"/>
    </w:rPr>
  </w:style>
  <w:style w:type="character" w:customStyle="1" w:styleId="NormalCapitals">
    <w:name w:val="Normal Capitals"/>
    <w:basedOn w:val="Standardnpsmoodstavce"/>
    <w:uiPriority w:val="1"/>
    <w:rsid w:val="00C92387"/>
    <w:rPr>
      <w:rFonts w:asciiTheme="minorHAnsi" w:hAnsiTheme="minorHAnsi"/>
      <w:caps w:val="0"/>
      <w:smallCaps/>
      <w:strike w:val="0"/>
      <w:dstrike w:val="0"/>
      <w:vanish w:val="0"/>
      <w:sz w:val="20"/>
      <w:vertAlign w:val="baseline"/>
    </w:rPr>
  </w:style>
  <w:style w:type="paragraph" w:customStyle="1" w:styleId="30C9092BF7C14817859DCF873770AF03">
    <w:name w:val="30C9092BF7C14817859DCF873770AF03"/>
    <w:rsid w:val="00C5537D"/>
    <w:rPr>
      <w:rFonts w:eastAsiaTheme="minorEastAsia"/>
      <w:lang w:eastAsia="cs-CZ"/>
    </w:rPr>
  </w:style>
  <w:style w:type="character" w:customStyle="1" w:styleId="NormalBold">
    <w:name w:val="Normal Bold"/>
    <w:basedOn w:val="Standardnpsmoodstavce"/>
    <w:uiPriority w:val="1"/>
    <w:rsid w:val="00C5537D"/>
    <w:rPr>
      <w:rFonts w:asciiTheme="minorHAnsi" w:hAnsiTheme="minorHAnsi"/>
      <w:b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B15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D5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F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FA6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FA6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F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A6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E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37E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6C77"/>
    <w:rPr>
      <w:rFonts w:ascii="Calibri" w:eastAsia="Times New Roman" w:hAnsi="Calibri" w:cs="Times New Roman"/>
      <w:bCs/>
      <w:sz w:val="24"/>
      <w:szCs w:val="20"/>
      <w:lang w:val="la-Latn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E6C77"/>
    <w:rPr>
      <w:rFonts w:ascii="Calibri" w:eastAsia="Calibri" w:hAnsi="Calibri" w:cs="Times New Roman"/>
      <w:sz w:val="24"/>
      <w:lang w:eastAsia="cs-CZ"/>
    </w:rPr>
  </w:style>
  <w:style w:type="paragraph" w:styleId="Revize">
    <w:name w:val="Revision"/>
    <w:hidden/>
    <w:uiPriority w:val="99"/>
    <w:semiHidden/>
    <w:rsid w:val="006F5D7A"/>
    <w:pPr>
      <w:spacing w:after="0" w:line="240" w:lineRule="auto"/>
    </w:pPr>
    <w:rPr>
      <w:rFonts w:ascii="Calibri" w:eastAsia="Calibri" w:hAnsi="Calibri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A65F3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oucek@tsk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8AFC-32D3-472F-BCD5-5F7F037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3254</Words>
  <Characters>19204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94</vt:i4>
      </vt:variant>
    </vt:vector>
  </HeadingPairs>
  <TitlesOfParts>
    <vt:vector size="95" baseType="lpstr">
      <vt:lpstr/>
      <vt:lpstr>Smluvní strany a jejich postavení</vt:lpstr>
      <vt:lpstr>    Zadavatel</vt:lpstr>
      <vt:lpstr>    (dále jen „Zadavatel“)</vt:lpstr>
      <vt:lpstr>    Dodavatel</vt:lpstr>
      <vt:lpstr>    (dále jen „Dodavatel“)</vt:lpstr>
      <vt:lpstr>    (Zadavatel a Dodavatel dále společně též „Smluvní strany“)</vt:lpstr>
      <vt:lpstr>    Smluvní strany prohlašují, že mají veškerá práva a způsobilost k tomu, aby plnil</vt:lpstr>
      <vt:lpstr>    Dodavatel se, co by účastník, účastní jednacího řízení s uveřejněním zadávaného </vt:lpstr>
      <vt:lpstr>    V rámci praktické zkoušky ve smyslu zadávací dokumentace k Veřejné zakázce, resp</vt:lpstr>
      <vt:lpstr>    V rámci Zadávacího řízení, a zejména pro účely Praktické zkoušky, budou dále Dod</vt:lpstr>
      <vt:lpstr>    Smluvní strany se proto rozhodly uzavřít tuto Smlouvu, kterou jsou upřesněny prá</vt:lpstr>
      <vt:lpstr>Předmět Smlouvy</vt:lpstr>
      <vt:lpstr>    Předmětem Smlouvy je stanovení práv a povinností Smluvních stran souvisejících s</vt:lpstr>
      <vt:lpstr>    Dodavatel se zavazuje pro Zadavatele zpracovávat osobní údaje v rozsahu, za účel</vt:lpstr>
      <vt:lpstr>    Podmínky a rozsah zpracování osobních údajů Dodavatelem a technický a organizačn</vt:lpstr>
      <vt:lpstr>Zpracování osobních údajů</vt:lpstr>
      <vt:lpstr>    Dodavatel se zavazuje na základě této Smlouvy zpracovávat následující kategorie </vt:lpstr>
      <vt:lpstr>    Na základě této Smlouvy bude Dodavatel zpracovávat Osobní údaje pouze za účelem </vt:lpstr>
      <vt:lpstr>    Pro vyloučení pochybností se Dodavatel zavazuje pro Zadavatele nezpracovávat jak</vt:lpstr>
      <vt:lpstr>    Zpracování Osobních údajů Dodavatelem bude mít následující povahu:</vt:lpstr>
      <vt:lpstr>    shromažďování,</vt:lpstr>
      <vt:lpstr>    ukládání na nosiče informací,</vt:lpstr>
      <vt:lpstr>    třídění,</vt:lpstr>
      <vt:lpstr>    předávání a uchovávání,</vt:lpstr>
      <vt:lpstr>    a to automatizovaně a případně i manuálně tak, aby tato činnost odpovídala účelu</vt:lpstr>
      <vt:lpstr>    Dodavatel se zavazuje zpracovávat Osobní údaje po dobu nezbytně nutnou pro plněn</vt:lpstr>
      <vt:lpstr>    Dodavatel se dále zavazuje Osobní údaje zpracovávat pouze v monitorovacím vozidl</vt:lpstr>
      <vt:lpstr>    Dodavatel se zavazuje zpracovávat Osobní údaje dle této Smlouvy pouze na základě</vt:lpstr>
      <vt:lpstr>Mlčenlivost</vt:lpstr>
      <vt:lpstr>    Dodavatel se touto Smlouvou zavazuje zachovávat mlčenlivost o veškerých Důvěrnýc</vt:lpstr>
      <vt:lpstr>    Dodavatel se zavazuje ve vztahu k Důvěrným informacím zavázat mlčenlivostí všech</vt:lpstr>
      <vt:lpstr>Zabezpečení Osobních údajů</vt:lpstr>
      <vt:lpstr>    Dodavatel se zavazuje přijmout taková opatření, aby nemohlo dojít k neoprávněném</vt:lpstr>
      <vt:lpstr>    Dodavatel se zavazuje učinit zejména následující ochranná opatření:</vt:lpstr>
      <vt:lpstr>    chránit média obsahující Osobní údaje před neoprávněným přístupem uzamčením ve s</vt:lpstr>
      <vt:lpstr>    Osobní údaje uchovávané v elektronické podobě chránit před neoprávněným přístupe</vt:lpstr>
      <vt:lpstr>    zajistit ochranu, udržování a monitorování zabezpečení a integrity sítě Dodavate</vt:lpstr>
      <vt:lpstr>    pravidelné zálohování dat včetně zajištění potřebného software a hardware pro pr</vt:lpstr>
      <vt:lpstr>    pořizovat elektronické záznamy, které umožní určit a ověřit, kdy, kým a z jakého</vt:lpstr>
      <vt:lpstr>    přijmout případně další technická opatření, která jsou obecně uznávána jako vhod</vt:lpstr>
      <vt:lpstr>Součinnost Dodavatele</vt:lpstr>
      <vt:lpstr>    Dodavatel se zavazuje poskytovat Zadavateli součinnost v rozsahu nezbytném k zaj</vt:lpstr>
      <vt:lpstr>    bez zbytečného odkladu, nejpozději do 24 hodin, hlásit Zadavateli každé porušení</vt:lpstr>
      <vt:lpstr>    bez zbytečného odkladu poskytnout Zadavateli veškeré podklady a informace nezbyt</vt:lpstr>
      <vt:lpstr>    v souladu s právním řádem bez zbytečného odkladu vyhovět řádně a včas žádosti su</vt:lpstr>
      <vt:lpstr>    Ohlášení porušení nebo bezpečnostního incidentu dle odst. 6.1.2. Smlouvy musí ob</vt:lpstr>
      <vt:lpstr>    popis povahy daného případu porušení zabezpečení osobních údajů včetně, pokud je</vt:lpstr>
      <vt:lpstr>    popis pravděpodobných důsledků porušení zabezpečení osobních údajů;</vt:lpstr>
      <vt:lpstr>    popis opatření, které Dodavatel přijal nebo navrhl k přijetí s cílem vyřešit dan</vt:lpstr>
      <vt:lpstr>Zapojení subdodavatelů</vt:lpstr>
      <vt:lpstr>    Dodavatel se zavazuje ke zpracování Osobních údajů dle této Smlouvy nevyužívat ž</vt:lpstr>
      <vt:lpstr>Ostatní povinnosti Dodavatele</vt:lpstr>
      <vt:lpstr>    Dodavatel se zavazuje plnit povinnosti Zadavatele stanovené ZZOÚ, GDPR a touto S</vt:lpstr>
      <vt:lpstr>    dodržovat prostředky a způsoby zpracování Osobních údajů stanovené touto Smlouvo</vt:lpstr>
      <vt:lpstr>    zpracovat pouze přesné Osobní údaje, které byly získány v souladu se ZZOÚ a GDPR</vt:lpstr>
      <vt:lpstr>    shromažďovat Osobní údaje odpovídající účelu zpracování a pouze v rozsahu nezbyt</vt:lpstr>
      <vt:lpstr>    zpracovávat Osobní údaje pouze v souladu s účelem, k němuž byly shromážděny;</vt:lpstr>
      <vt:lpstr>    uchovávat Osobní údaje pouze po dobu, která je nezbytná k účelu jejich zpracován</vt:lpstr>
      <vt:lpstr>    nesdružovat Osobní údaje, které byly získány k rozdílným účelům;</vt:lpstr>
      <vt:lpstr>    zpracovávat Osobní údaje tak, aby subjekt údajů neutrpěl újmu na svých právech, </vt:lpstr>
      <vt:lpstr>    přijmout bezpečnostní opatření stanovená dle této Smlouvy;</vt:lpstr>
      <vt:lpstr>    provést likvidaci Osobních údajů na základě pokynu Zadavatele nebo na základě žá</vt:lpstr>
      <vt:lpstr>    nepředávat Osobní údaje třetím osobám bez pověření Zadavatele. </vt:lpstr>
      <vt:lpstr>    Dodavatel se zavazuje bez zbytečného odkladu na výzvu Zadavatele, nejpozději vša</vt:lpstr>
      <vt:lpstr>    nahradit Zadavateli jakékoliv plnění, které byl Zadavatel povinen poskytnout tře</vt:lpstr>
      <vt:lpstr>    nahradit Zadavateli jakékoliv plnění, které byl Zadavatel povinen vynaložit na s</vt:lpstr>
      <vt:lpstr>    nahradit Zadavateli jakoukoliv újmu vzniklou v důsledku uplatnění právních nárok</vt:lpstr>
      <vt:lpstr>Sankce</vt:lpstr>
      <vt:lpstr>    Poruší-li Dodavatel kteroukoliv z povinností stanovených touto Smlouvou a nesjed</vt:lpstr>
      <vt:lpstr>    V případě porušení některé z následujících povinností Dodavatele:</vt:lpstr>
      <vt:lpstr>    nezapojit subdodavatele do zpracování osobních údajů dle této Smlouvy v rozporu </vt:lpstr>
      <vt:lpstr>    technicky a organizačně zabezpečit ochranu zpracovávaných Osobních údajů dle čl.</vt:lpstr>
      <vt:lpstr>    předat nebo zlikvidovat Osobní údaje ve stanovené maximální lhůtě dle odst. 10.3</vt:lpstr>
      <vt:lpstr>    má Zadavatel právo uplatnit vůči Dodavateli smluvní pokutu ve výši 10.000,- Kč (</vt:lpstr>
      <vt:lpstr>    V případě porušení povinnosti Dodavatele zachovávat mlčenlivost dle čl. 4. této </vt:lpstr>
      <vt:lpstr>    Smluvní pokuta, kterou je Smluvní strana povinna zaplatit dle tohoto čl. 9. Smlo</vt:lpstr>
      <vt:lpstr>    Zaplacením smluvní pokuty není dotčeno právo Zadavatele na náhradu újmy vzniklé </vt:lpstr>
      <vt:lpstr>Trvání Smlouvy</vt:lpstr>
      <vt:lpstr>    Smlouva je sjednána na dobu určitou, a to do skončení Zadávacího řízení Veřejné </vt:lpstr>
      <vt:lpstr>    Smlouva nabyde účinnosti jejím podpisem oprávněnými zástupci obou Smluvních stra</vt:lpstr>
      <vt:lpstr>    V případě ukončení Smlouvy se Dodavatel zavazuje všechny Důvěrné informace (vč. </vt:lpstr>
      <vt:lpstr>    Dodavatel se zavazuje zachovávat mlčenlivost dle čl. 4. této Smlouvy a zajistit </vt:lpstr>
      <vt:lpstr>    Nároky Smluvních stran na náhradu újmy a uhrazení smluvní pokuty vyplývající z t</vt:lpstr>
      <vt:lpstr>Závěrečná ustanovení</vt:lpstr>
      <vt:lpstr>    Pokud dojde ke změně právních předpisů, které upravují předmět a účel této Smlou</vt:lpstr>
      <vt:lpstr>    Každá ze Smluvních stran potvrzuje, že při sjednávání této Smlouvy postupovala č</vt:lpstr>
      <vt:lpstr>    Smlouva nebo právní vztah z ní vzniklý mohou být měněny dohodou Smluvních stran </vt:lpstr>
      <vt:lpstr>    Pokud vyjde najevo, že některé ustanovení této Smlouvy je nebo se stalo neplatný</vt:lpstr>
      <vt:lpstr>    Žádná ze Smluvních stran nesmí bez předchozího písemného souhlasu druhé Smluvní </vt:lpstr>
      <vt:lpstr>    Smluvní strany se dohodly, že rozhodným právem pro tuto Smlouvu nebo právní vzta</vt:lpstr>
      <vt:lpstr>    K rozhodování sporů týkajících se závazků z této Smlouvy nebo týkajících se práv</vt:lpstr>
      <vt:lpstr>    Smluvní strany prohlašují, že skutečnosti uvedené v této Smlouvě nepovažují za o</vt:lpstr>
      <vt:lpstr>    Přílohou této Smlouvy a její nedílnou součástí je Dokument Příloha č. 6 ZD Rámco</vt:lpstr>
      <vt:lpstr>    Tato Smlouva je sepsána ve 3 vyhotoveních. Zadavatel obdrží po dvou a Dodavatel </vt:lpstr>
    </vt:vector>
  </TitlesOfParts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2021-06-23T13:00:00Z</dcterms:created>
  <dcterms:modified xsi:type="dcterms:W3CDTF">2021-06-28T06:48:00Z</dcterms:modified>
</cp:coreProperties>
</file>